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AEB934">
      <w:pPr>
        <w:pStyle w:val="2"/>
        <w:ind w:firstLine="643"/>
        <w:rPr>
          <w:rFonts w:hint="eastAsia"/>
        </w:rPr>
      </w:pPr>
      <w:r>
        <w:rPr>
          <w:rFonts w:hint="eastAsia"/>
        </w:rPr>
        <w:t xml:space="preserve"> 用户需求书</w:t>
      </w:r>
    </w:p>
    <w:p w14:paraId="03147B06">
      <w:pPr>
        <w:pStyle w:val="3"/>
        <w:ind w:firstLine="482"/>
        <w:rPr>
          <w:rFonts w:hint="eastAsia"/>
        </w:rPr>
      </w:pPr>
      <w:r>
        <w:rPr>
          <w:rFonts w:hint="eastAsia"/>
        </w:rPr>
        <w:t>一、采购项目内容</w:t>
      </w:r>
    </w:p>
    <w:tbl>
      <w:tblPr>
        <w:tblStyle w:val="5"/>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4399"/>
        <w:gridCol w:w="1276"/>
        <w:gridCol w:w="2410"/>
      </w:tblGrid>
      <w:tr w14:paraId="2539B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tcPr>
          <w:p w14:paraId="43C04595">
            <w:pPr>
              <w:spacing w:line="360" w:lineRule="auto"/>
              <w:jc w:val="center"/>
              <w:rPr>
                <w:rFonts w:hint="eastAsia"/>
                <w:b/>
                <w:bCs/>
                <w:sz w:val="24"/>
                <w:szCs w:val="24"/>
              </w:rPr>
            </w:pPr>
            <w:r>
              <w:rPr>
                <w:rFonts w:hint="eastAsia"/>
                <w:b/>
                <w:bCs/>
                <w:sz w:val="24"/>
                <w:szCs w:val="24"/>
              </w:rPr>
              <w:t>序号</w:t>
            </w:r>
          </w:p>
        </w:tc>
        <w:tc>
          <w:tcPr>
            <w:tcW w:w="4399" w:type="dxa"/>
          </w:tcPr>
          <w:p w14:paraId="423A4C02">
            <w:pPr>
              <w:spacing w:line="360" w:lineRule="auto"/>
              <w:jc w:val="center"/>
              <w:rPr>
                <w:rFonts w:hint="eastAsia"/>
                <w:b/>
                <w:bCs/>
                <w:sz w:val="24"/>
                <w:szCs w:val="24"/>
              </w:rPr>
            </w:pPr>
            <w:r>
              <w:rPr>
                <w:rFonts w:hint="eastAsia"/>
                <w:b/>
                <w:bCs/>
                <w:sz w:val="24"/>
                <w:szCs w:val="24"/>
              </w:rPr>
              <w:t>采购内容</w:t>
            </w:r>
          </w:p>
        </w:tc>
        <w:tc>
          <w:tcPr>
            <w:tcW w:w="1276" w:type="dxa"/>
          </w:tcPr>
          <w:p w14:paraId="5182C244">
            <w:pPr>
              <w:spacing w:line="360" w:lineRule="auto"/>
              <w:jc w:val="center"/>
              <w:rPr>
                <w:rFonts w:hint="eastAsia"/>
                <w:b/>
                <w:bCs/>
                <w:sz w:val="24"/>
                <w:szCs w:val="24"/>
              </w:rPr>
            </w:pPr>
            <w:r>
              <w:rPr>
                <w:rFonts w:hint="eastAsia"/>
                <w:b/>
                <w:bCs/>
                <w:sz w:val="24"/>
                <w:szCs w:val="24"/>
              </w:rPr>
              <w:t>数量</w:t>
            </w:r>
          </w:p>
        </w:tc>
        <w:tc>
          <w:tcPr>
            <w:tcW w:w="2410" w:type="dxa"/>
          </w:tcPr>
          <w:p w14:paraId="206386DE">
            <w:pPr>
              <w:spacing w:line="360" w:lineRule="auto"/>
              <w:jc w:val="center"/>
              <w:rPr>
                <w:rFonts w:hint="eastAsia"/>
                <w:b/>
                <w:bCs/>
                <w:sz w:val="24"/>
                <w:szCs w:val="24"/>
              </w:rPr>
            </w:pPr>
            <w:r>
              <w:rPr>
                <w:rFonts w:hint="eastAsia"/>
                <w:b/>
                <w:bCs/>
                <w:sz w:val="24"/>
                <w:szCs w:val="24"/>
              </w:rPr>
              <w:t>最高限价</w:t>
            </w:r>
          </w:p>
        </w:tc>
      </w:tr>
      <w:tr w14:paraId="38F62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tcPr>
          <w:p w14:paraId="320E0F9F">
            <w:pPr>
              <w:spacing w:line="360" w:lineRule="auto"/>
              <w:jc w:val="both"/>
              <w:rPr>
                <w:rFonts w:hint="eastAsia"/>
                <w:sz w:val="24"/>
                <w:szCs w:val="24"/>
                <w:highlight w:val="none"/>
              </w:rPr>
            </w:pPr>
            <w:r>
              <w:rPr>
                <w:rFonts w:hint="eastAsia"/>
                <w:sz w:val="24"/>
                <w:szCs w:val="24"/>
                <w:highlight w:val="none"/>
              </w:rPr>
              <w:t>1</w:t>
            </w:r>
          </w:p>
        </w:tc>
        <w:tc>
          <w:tcPr>
            <w:tcW w:w="4399" w:type="dxa"/>
          </w:tcPr>
          <w:p w14:paraId="607A2099">
            <w:pPr>
              <w:spacing w:line="360" w:lineRule="auto"/>
              <w:jc w:val="both"/>
              <w:rPr>
                <w:rFonts w:hint="eastAsia"/>
                <w:sz w:val="24"/>
                <w:szCs w:val="24"/>
                <w:highlight w:val="none"/>
              </w:rPr>
            </w:pPr>
            <w:r>
              <w:rPr>
                <w:rFonts w:hint="eastAsia"/>
                <w:sz w:val="24"/>
                <w:szCs w:val="24"/>
                <w:highlight w:val="none"/>
              </w:rPr>
              <w:t>门诊业务一体机</w:t>
            </w:r>
          </w:p>
        </w:tc>
        <w:tc>
          <w:tcPr>
            <w:tcW w:w="1276" w:type="dxa"/>
            <w:vAlign w:val="center"/>
          </w:tcPr>
          <w:p w14:paraId="4841859E">
            <w:pPr>
              <w:spacing w:line="360" w:lineRule="auto"/>
              <w:jc w:val="both"/>
              <w:rPr>
                <w:rFonts w:hint="eastAsia"/>
                <w:b/>
                <w:bCs/>
                <w:sz w:val="24"/>
                <w:szCs w:val="24"/>
                <w:highlight w:val="none"/>
              </w:rPr>
            </w:pPr>
            <w:r>
              <w:rPr>
                <w:rFonts w:hint="eastAsia"/>
                <w:sz w:val="24"/>
                <w:szCs w:val="24"/>
                <w:highlight w:val="none"/>
              </w:rPr>
              <w:t>20台</w:t>
            </w:r>
          </w:p>
        </w:tc>
        <w:tc>
          <w:tcPr>
            <w:tcW w:w="2410" w:type="dxa"/>
            <w:vAlign w:val="center"/>
          </w:tcPr>
          <w:p w14:paraId="14AFD7CA">
            <w:pPr>
              <w:spacing w:line="360" w:lineRule="auto"/>
              <w:jc w:val="both"/>
              <w:rPr>
                <w:rFonts w:hint="eastAsia"/>
                <w:sz w:val="24"/>
                <w:szCs w:val="24"/>
                <w:highlight w:val="none"/>
              </w:rPr>
            </w:pPr>
            <w:r>
              <w:rPr>
                <w:rFonts w:hint="eastAsia"/>
                <w:sz w:val="24"/>
                <w:szCs w:val="24"/>
                <w:highlight w:val="none"/>
                <w:lang w:val="zh-CN"/>
              </w:rPr>
              <w:t>人民币</w:t>
            </w:r>
            <w:r>
              <w:rPr>
                <w:rFonts w:hint="eastAsia"/>
                <w:sz w:val="24"/>
                <w:szCs w:val="24"/>
                <w:highlight w:val="none"/>
              </w:rPr>
              <w:t>120万元</w:t>
            </w:r>
          </w:p>
        </w:tc>
      </w:tr>
      <w:tr w14:paraId="21E53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tcPr>
          <w:p w14:paraId="5766E26C">
            <w:pPr>
              <w:spacing w:line="360" w:lineRule="auto"/>
              <w:jc w:val="both"/>
              <w:rPr>
                <w:rFonts w:hint="eastAsia"/>
                <w:sz w:val="24"/>
                <w:szCs w:val="24"/>
                <w:highlight w:val="none"/>
              </w:rPr>
            </w:pPr>
            <w:r>
              <w:rPr>
                <w:rFonts w:hint="eastAsia"/>
                <w:sz w:val="24"/>
                <w:szCs w:val="24"/>
                <w:highlight w:val="none"/>
              </w:rPr>
              <w:t>2</w:t>
            </w:r>
          </w:p>
        </w:tc>
        <w:tc>
          <w:tcPr>
            <w:tcW w:w="4399" w:type="dxa"/>
          </w:tcPr>
          <w:p w14:paraId="21093B94">
            <w:pPr>
              <w:spacing w:line="360" w:lineRule="auto"/>
              <w:jc w:val="both"/>
              <w:rPr>
                <w:rFonts w:hint="eastAsia"/>
                <w:sz w:val="24"/>
                <w:szCs w:val="24"/>
                <w:highlight w:val="none"/>
              </w:rPr>
            </w:pPr>
            <w:r>
              <w:rPr>
                <w:rFonts w:hint="eastAsia"/>
                <w:sz w:val="24"/>
                <w:szCs w:val="24"/>
                <w:highlight w:val="none"/>
              </w:rPr>
              <w:t>自助售卖病例机</w:t>
            </w:r>
          </w:p>
        </w:tc>
        <w:tc>
          <w:tcPr>
            <w:tcW w:w="1276" w:type="dxa"/>
            <w:vAlign w:val="center"/>
          </w:tcPr>
          <w:p w14:paraId="7A3F5748">
            <w:pPr>
              <w:spacing w:line="360" w:lineRule="auto"/>
              <w:jc w:val="both"/>
              <w:rPr>
                <w:rFonts w:hint="eastAsia"/>
                <w:sz w:val="24"/>
                <w:szCs w:val="24"/>
                <w:highlight w:val="none"/>
              </w:rPr>
            </w:pPr>
            <w:r>
              <w:rPr>
                <w:rFonts w:hint="eastAsia"/>
                <w:sz w:val="24"/>
                <w:szCs w:val="24"/>
                <w:highlight w:val="none"/>
              </w:rPr>
              <w:t>1台</w:t>
            </w:r>
          </w:p>
        </w:tc>
        <w:tc>
          <w:tcPr>
            <w:tcW w:w="2410" w:type="dxa"/>
            <w:vAlign w:val="center"/>
          </w:tcPr>
          <w:p w14:paraId="6B046009">
            <w:pPr>
              <w:spacing w:line="360" w:lineRule="auto"/>
              <w:jc w:val="both"/>
              <w:rPr>
                <w:rFonts w:hint="eastAsia"/>
                <w:sz w:val="24"/>
                <w:szCs w:val="24"/>
                <w:highlight w:val="none"/>
                <w:lang w:val="zh-CN"/>
              </w:rPr>
            </w:pPr>
            <w:r>
              <w:rPr>
                <w:rFonts w:hint="eastAsia"/>
                <w:sz w:val="24"/>
                <w:szCs w:val="24"/>
                <w:highlight w:val="none"/>
                <w:lang w:val="zh-CN"/>
              </w:rPr>
              <w:t>人民币</w:t>
            </w:r>
            <w:r>
              <w:rPr>
                <w:rFonts w:hint="eastAsia"/>
                <w:sz w:val="24"/>
                <w:szCs w:val="24"/>
                <w:highlight w:val="none"/>
              </w:rPr>
              <w:t>6万元</w:t>
            </w:r>
          </w:p>
        </w:tc>
      </w:tr>
    </w:tbl>
    <w:p w14:paraId="7139AFF2">
      <w:pPr>
        <w:pStyle w:val="3"/>
        <w:ind w:firstLine="482"/>
        <w:rPr>
          <w:rFonts w:hint="eastAsia"/>
        </w:rPr>
      </w:pPr>
      <w:bookmarkStart w:id="0" w:name="_Hlk134087108"/>
      <w:r>
        <w:rPr>
          <w:rFonts w:hint="eastAsia"/>
          <w:highlight w:val="none"/>
        </w:rPr>
        <w:t>二、项目概述：</w:t>
      </w:r>
    </w:p>
    <w:p w14:paraId="4D1FB7DF">
      <w:pPr>
        <w:spacing w:line="360" w:lineRule="auto"/>
        <w:ind w:firstLine="480" w:firstLineChars="200"/>
        <w:rPr>
          <w:rFonts w:hint="eastAsia"/>
          <w:sz w:val="24"/>
          <w:szCs w:val="24"/>
        </w:rPr>
      </w:pPr>
      <w:r>
        <w:rPr>
          <w:rFonts w:hint="eastAsia"/>
          <w:sz w:val="24"/>
          <w:szCs w:val="24"/>
        </w:rPr>
        <w:t>本项目旨在通过新增采购高效能的智能自助服务终端设备，为患者提供便捷的医疗相关服务，包括但不限于自助挂号、自助缴费以及打印医疗单据等全流程自助服务。此举将显著缩短患者在医疗机构内排队等候的时间，提升就医体验，同时优化医院运营效率。</w:t>
      </w:r>
    </w:p>
    <w:p w14:paraId="54DDC1A6">
      <w:pPr>
        <w:pStyle w:val="3"/>
        <w:numPr>
          <w:ilvl w:val="0"/>
          <w:numId w:val="1"/>
        </w:numPr>
        <w:rPr>
          <w:rFonts w:hint="eastAsia"/>
        </w:rPr>
      </w:pPr>
      <w:r>
        <w:rPr>
          <w:rFonts w:hint="eastAsia"/>
        </w:rPr>
        <w:t>用户技术需求</w:t>
      </w:r>
    </w:p>
    <w:p w14:paraId="5A5ADCC3">
      <w:pPr>
        <w:spacing w:line="360" w:lineRule="auto"/>
        <w:rPr>
          <w:rFonts w:hint="eastAsia"/>
          <w:b/>
          <w:bCs/>
          <w:sz w:val="24"/>
          <w:szCs w:val="24"/>
        </w:rPr>
      </w:pPr>
      <w:r>
        <w:rPr>
          <w:rFonts w:hint="eastAsia"/>
          <w:b/>
          <w:bCs/>
          <w:sz w:val="24"/>
          <w:szCs w:val="24"/>
        </w:rPr>
        <w:t>1、门诊业务一体机硬件参数需求</w:t>
      </w:r>
    </w:p>
    <w:tbl>
      <w:tblPr>
        <w:tblStyle w:val="4"/>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701"/>
        <w:gridCol w:w="6520"/>
      </w:tblGrid>
      <w:tr w14:paraId="514CE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46" w:type="dxa"/>
            <w:vAlign w:val="center"/>
          </w:tcPr>
          <w:p w14:paraId="6AD40E69">
            <w:pPr>
              <w:jc w:val="center"/>
              <w:rPr>
                <w:rFonts w:hint="eastAsia"/>
                <w:b/>
                <w:bCs/>
                <w:sz w:val="24"/>
                <w:szCs w:val="24"/>
              </w:rPr>
            </w:pPr>
            <w:r>
              <w:rPr>
                <w:rFonts w:hint="eastAsia"/>
                <w:b/>
                <w:bCs/>
                <w:sz w:val="24"/>
                <w:szCs w:val="24"/>
              </w:rPr>
              <w:t>序号</w:t>
            </w:r>
          </w:p>
        </w:tc>
        <w:tc>
          <w:tcPr>
            <w:tcW w:w="1701" w:type="dxa"/>
            <w:vAlign w:val="center"/>
          </w:tcPr>
          <w:p w14:paraId="6439CFB9">
            <w:pPr>
              <w:jc w:val="center"/>
              <w:rPr>
                <w:rFonts w:hint="eastAsia"/>
                <w:b/>
                <w:bCs/>
                <w:sz w:val="24"/>
                <w:szCs w:val="24"/>
              </w:rPr>
            </w:pPr>
            <w:r>
              <w:rPr>
                <w:rFonts w:hint="eastAsia"/>
                <w:b/>
                <w:bCs/>
                <w:sz w:val="24"/>
                <w:szCs w:val="24"/>
              </w:rPr>
              <w:t>功能模块</w:t>
            </w:r>
          </w:p>
        </w:tc>
        <w:tc>
          <w:tcPr>
            <w:tcW w:w="6520" w:type="dxa"/>
            <w:vAlign w:val="center"/>
          </w:tcPr>
          <w:p w14:paraId="18E2D688">
            <w:pPr>
              <w:jc w:val="center"/>
              <w:rPr>
                <w:rFonts w:hint="eastAsia"/>
                <w:b/>
                <w:bCs/>
                <w:sz w:val="24"/>
                <w:szCs w:val="24"/>
              </w:rPr>
            </w:pPr>
            <w:r>
              <w:rPr>
                <w:rFonts w:hint="eastAsia"/>
                <w:b/>
                <w:bCs/>
                <w:sz w:val="24"/>
                <w:szCs w:val="24"/>
              </w:rPr>
              <w:t>技术参数</w:t>
            </w:r>
          </w:p>
        </w:tc>
      </w:tr>
      <w:tr w14:paraId="29C4E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846" w:type="dxa"/>
            <w:vAlign w:val="center"/>
          </w:tcPr>
          <w:p w14:paraId="0F8FE83F">
            <w:pPr>
              <w:pStyle w:val="7"/>
              <w:numPr>
                <w:ilvl w:val="0"/>
                <w:numId w:val="2"/>
              </w:numPr>
              <w:ind w:left="0" w:firstLine="0"/>
              <w:rPr>
                <w:rFonts w:hint="eastAsia"/>
              </w:rPr>
            </w:pPr>
          </w:p>
        </w:tc>
        <w:tc>
          <w:tcPr>
            <w:tcW w:w="1701" w:type="dxa"/>
            <w:vAlign w:val="center"/>
          </w:tcPr>
          <w:p w14:paraId="1ECD6672">
            <w:pPr>
              <w:rPr>
                <w:rFonts w:hint="eastAsia"/>
                <w:sz w:val="24"/>
                <w:szCs w:val="24"/>
              </w:rPr>
            </w:pPr>
            <w:r>
              <w:rPr>
                <w:rFonts w:hint="eastAsia"/>
                <w:sz w:val="24"/>
                <w:szCs w:val="24"/>
              </w:rPr>
              <w:t>机柜模块</w:t>
            </w:r>
          </w:p>
        </w:tc>
        <w:tc>
          <w:tcPr>
            <w:tcW w:w="6520" w:type="dxa"/>
            <w:vAlign w:val="center"/>
          </w:tcPr>
          <w:p w14:paraId="48DFE7AC">
            <w:pPr>
              <w:rPr>
                <w:rFonts w:hint="eastAsia"/>
                <w:sz w:val="24"/>
                <w:szCs w:val="24"/>
              </w:rPr>
            </w:pPr>
            <w:r>
              <w:rPr>
                <w:rFonts w:hint="eastAsia"/>
                <w:sz w:val="24"/>
                <w:szCs w:val="24"/>
              </w:rPr>
              <w:t>材料：坚硬厚实不易变形；</w:t>
            </w:r>
          </w:p>
          <w:p w14:paraId="50C79D88">
            <w:pPr>
              <w:rPr>
                <w:rFonts w:hint="eastAsia"/>
                <w:sz w:val="24"/>
                <w:szCs w:val="24"/>
              </w:rPr>
            </w:pPr>
            <w:r>
              <w:rPr>
                <w:rFonts w:hint="eastAsia"/>
                <w:sz w:val="24"/>
                <w:szCs w:val="24"/>
              </w:rPr>
              <w:t>表层处理：防锈、防腐、耐磨；</w:t>
            </w:r>
          </w:p>
          <w:p w14:paraId="14F34167">
            <w:pPr>
              <w:rPr>
                <w:rFonts w:hint="eastAsia"/>
                <w:sz w:val="24"/>
                <w:szCs w:val="24"/>
              </w:rPr>
            </w:pPr>
            <w:r>
              <w:rPr>
                <w:rFonts w:hint="eastAsia"/>
                <w:sz w:val="24"/>
                <w:szCs w:val="24"/>
              </w:rPr>
              <w:t>内部结构：布线规范整齐；</w:t>
            </w:r>
          </w:p>
          <w:p w14:paraId="5320BB79">
            <w:pPr>
              <w:rPr>
                <w:rFonts w:hint="eastAsia"/>
                <w:sz w:val="24"/>
                <w:szCs w:val="24"/>
              </w:rPr>
            </w:pPr>
            <w:r>
              <w:rPr>
                <w:rFonts w:hint="eastAsia"/>
                <w:sz w:val="24"/>
                <w:szCs w:val="24"/>
              </w:rPr>
              <w:t>外部结构：各部件模块与机柜结合紧密，布局合理；</w:t>
            </w:r>
          </w:p>
        </w:tc>
      </w:tr>
      <w:tr w14:paraId="2044E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846" w:type="dxa"/>
            <w:vAlign w:val="center"/>
          </w:tcPr>
          <w:p w14:paraId="02D7E121">
            <w:pPr>
              <w:pStyle w:val="7"/>
              <w:numPr>
                <w:ilvl w:val="0"/>
                <w:numId w:val="2"/>
              </w:numPr>
              <w:ind w:left="0" w:firstLine="0"/>
              <w:rPr>
                <w:rFonts w:hint="eastAsia"/>
              </w:rPr>
            </w:pPr>
          </w:p>
        </w:tc>
        <w:tc>
          <w:tcPr>
            <w:tcW w:w="1701" w:type="dxa"/>
            <w:vAlign w:val="center"/>
          </w:tcPr>
          <w:p w14:paraId="2EE4671C">
            <w:pPr>
              <w:rPr>
                <w:rFonts w:hint="eastAsia"/>
                <w:sz w:val="24"/>
                <w:szCs w:val="24"/>
              </w:rPr>
            </w:pPr>
            <w:r>
              <w:rPr>
                <w:rFonts w:hint="eastAsia"/>
                <w:sz w:val="24"/>
                <w:szCs w:val="24"/>
              </w:rPr>
              <w:t>工控主机</w:t>
            </w:r>
          </w:p>
        </w:tc>
        <w:tc>
          <w:tcPr>
            <w:tcW w:w="6520" w:type="dxa"/>
            <w:vAlign w:val="center"/>
          </w:tcPr>
          <w:p w14:paraId="0B5478E4">
            <w:pPr>
              <w:rPr>
                <w:rFonts w:hint="eastAsia"/>
                <w:sz w:val="24"/>
                <w:szCs w:val="24"/>
              </w:rPr>
            </w:pPr>
            <w:r>
              <w:rPr>
                <w:rFonts w:hint="eastAsia"/>
                <w:sz w:val="24"/>
                <w:szCs w:val="24"/>
              </w:rPr>
              <w:t>CPU：</w:t>
            </w:r>
            <w:r>
              <w:rPr>
                <w:rFonts w:hint="eastAsia" w:cs="宋体"/>
                <w:sz w:val="24"/>
                <w:szCs w:val="24"/>
              </w:rPr>
              <w:t>参照或相当于</w:t>
            </w:r>
            <w:r>
              <w:rPr>
                <w:sz w:val="24"/>
                <w:szCs w:val="24"/>
              </w:rPr>
              <w:t>i</w:t>
            </w:r>
            <w:r>
              <w:rPr>
                <w:rFonts w:hint="eastAsia"/>
                <w:sz w:val="24"/>
                <w:szCs w:val="24"/>
              </w:rPr>
              <w:t>5 3.0GHz</w:t>
            </w:r>
            <w:r>
              <w:rPr>
                <w:rFonts w:hint="eastAsia" w:cs="宋体"/>
                <w:sz w:val="24"/>
                <w:szCs w:val="24"/>
              </w:rPr>
              <w:t>或以上；</w:t>
            </w:r>
          </w:p>
          <w:p w14:paraId="42AE7388">
            <w:pPr>
              <w:rPr>
                <w:rFonts w:hint="eastAsia"/>
                <w:sz w:val="24"/>
                <w:szCs w:val="24"/>
              </w:rPr>
            </w:pPr>
            <w:r>
              <w:rPr>
                <w:rFonts w:hint="eastAsia"/>
                <w:sz w:val="24"/>
                <w:szCs w:val="24"/>
              </w:rPr>
              <w:t>内存：16G或以上；</w:t>
            </w:r>
          </w:p>
          <w:p w14:paraId="399304CB">
            <w:pPr>
              <w:rPr>
                <w:rFonts w:hint="eastAsia"/>
                <w:sz w:val="24"/>
                <w:szCs w:val="24"/>
              </w:rPr>
            </w:pPr>
            <w:r>
              <w:rPr>
                <w:rFonts w:hint="eastAsia"/>
                <w:sz w:val="24"/>
                <w:szCs w:val="24"/>
              </w:rPr>
              <w:t>硬盘：512G固态硬盘或以上；</w:t>
            </w:r>
          </w:p>
          <w:p w14:paraId="582BB829">
            <w:pPr>
              <w:rPr>
                <w:rFonts w:hint="eastAsia"/>
                <w:sz w:val="24"/>
                <w:szCs w:val="24"/>
              </w:rPr>
            </w:pPr>
            <w:r>
              <w:rPr>
                <w:rFonts w:hint="eastAsia"/>
                <w:sz w:val="24"/>
                <w:szCs w:val="24"/>
              </w:rPr>
              <w:t>预装Windows10 64位操作系统；</w:t>
            </w:r>
          </w:p>
        </w:tc>
      </w:tr>
      <w:tr w14:paraId="4E17E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846" w:type="dxa"/>
            <w:vAlign w:val="center"/>
          </w:tcPr>
          <w:p w14:paraId="0DDD25BA">
            <w:pPr>
              <w:pStyle w:val="7"/>
              <w:numPr>
                <w:ilvl w:val="0"/>
                <w:numId w:val="2"/>
              </w:numPr>
              <w:ind w:left="0" w:firstLine="0"/>
              <w:rPr>
                <w:rFonts w:hint="eastAsia"/>
              </w:rPr>
            </w:pPr>
          </w:p>
        </w:tc>
        <w:tc>
          <w:tcPr>
            <w:tcW w:w="1701" w:type="dxa"/>
            <w:vAlign w:val="center"/>
          </w:tcPr>
          <w:p w14:paraId="77FD17AD">
            <w:pPr>
              <w:rPr>
                <w:rFonts w:hint="eastAsia"/>
                <w:sz w:val="24"/>
                <w:szCs w:val="24"/>
              </w:rPr>
            </w:pPr>
            <w:r>
              <w:rPr>
                <w:rFonts w:hint="eastAsia"/>
                <w:sz w:val="24"/>
                <w:szCs w:val="24"/>
              </w:rPr>
              <w:t>触显一体屏</w:t>
            </w:r>
          </w:p>
        </w:tc>
        <w:tc>
          <w:tcPr>
            <w:tcW w:w="6520" w:type="dxa"/>
            <w:vAlign w:val="center"/>
          </w:tcPr>
          <w:p w14:paraId="43823026">
            <w:pPr>
              <w:rPr>
                <w:rFonts w:hint="eastAsia"/>
                <w:sz w:val="24"/>
                <w:szCs w:val="24"/>
              </w:rPr>
            </w:pPr>
            <w:r>
              <w:rPr>
                <w:rFonts w:hint="eastAsia"/>
                <w:sz w:val="24"/>
                <w:szCs w:val="24"/>
              </w:rPr>
              <w:t>尺寸/类型：≥39寸电容触显屏；</w:t>
            </w:r>
          </w:p>
          <w:p w14:paraId="747DF5A6">
            <w:pPr>
              <w:rPr>
                <w:rFonts w:hint="eastAsia"/>
                <w:sz w:val="24"/>
                <w:szCs w:val="24"/>
              </w:rPr>
            </w:pPr>
            <w:r>
              <w:rPr>
                <w:rFonts w:hint="eastAsia"/>
                <w:sz w:val="24"/>
                <w:szCs w:val="24"/>
              </w:rPr>
              <w:t>分辨率(像素)：≥1920*1080；</w:t>
            </w:r>
          </w:p>
          <w:p w14:paraId="1F45C4F6">
            <w:pPr>
              <w:rPr>
                <w:rFonts w:hint="eastAsia"/>
                <w:sz w:val="24"/>
                <w:szCs w:val="24"/>
              </w:rPr>
            </w:pPr>
            <w:r>
              <w:rPr>
                <w:rFonts w:hint="eastAsia"/>
                <w:sz w:val="24"/>
                <w:szCs w:val="24"/>
              </w:rPr>
              <w:t>亮度：≥350cd/m</w:t>
            </w:r>
            <w:r>
              <w:rPr>
                <w:rFonts w:ascii="Calibri" w:hAnsi="Calibri" w:cs="Calibri"/>
                <w:sz w:val="24"/>
                <w:szCs w:val="24"/>
              </w:rPr>
              <w:t>²</w:t>
            </w:r>
            <w:r>
              <w:rPr>
                <w:rFonts w:hint="eastAsia"/>
                <w:sz w:val="24"/>
                <w:szCs w:val="24"/>
              </w:rPr>
              <w:t>；</w:t>
            </w:r>
          </w:p>
          <w:p w14:paraId="52A1DB52">
            <w:pPr>
              <w:rPr>
                <w:rFonts w:hint="eastAsia"/>
                <w:sz w:val="24"/>
                <w:szCs w:val="24"/>
              </w:rPr>
            </w:pPr>
            <w:r>
              <w:rPr>
                <w:rFonts w:hint="eastAsia"/>
                <w:sz w:val="24"/>
                <w:szCs w:val="24"/>
              </w:rPr>
              <w:t>对比度：≥1200:1；</w:t>
            </w:r>
          </w:p>
          <w:p w14:paraId="2667BD58">
            <w:pPr>
              <w:rPr>
                <w:rFonts w:hint="eastAsia"/>
                <w:sz w:val="24"/>
                <w:szCs w:val="24"/>
              </w:rPr>
            </w:pPr>
            <w:r>
              <w:rPr>
                <w:rFonts w:hint="eastAsia"/>
                <w:sz w:val="24"/>
                <w:szCs w:val="24"/>
              </w:rPr>
              <w:t>色值：≥16.7M；</w:t>
            </w:r>
          </w:p>
          <w:p w14:paraId="74D7A9AA">
            <w:pPr>
              <w:rPr>
                <w:rFonts w:hint="eastAsia"/>
                <w:sz w:val="24"/>
                <w:szCs w:val="24"/>
              </w:rPr>
            </w:pPr>
            <w:r>
              <w:rPr>
                <w:rFonts w:hint="eastAsia"/>
                <w:sz w:val="24"/>
                <w:szCs w:val="24"/>
              </w:rPr>
              <w:t>可视角度(U/D/L/R)：89/89/89/89；</w:t>
            </w:r>
          </w:p>
          <w:p w14:paraId="1094D0A7">
            <w:pPr>
              <w:rPr>
                <w:rFonts w:hint="eastAsia"/>
                <w:sz w:val="24"/>
                <w:szCs w:val="24"/>
              </w:rPr>
            </w:pPr>
            <w:r>
              <w:rPr>
                <w:rFonts w:hint="eastAsia"/>
                <w:sz w:val="24"/>
                <w:szCs w:val="24"/>
              </w:rPr>
              <w:t>响应时间：≤8ms；</w:t>
            </w:r>
          </w:p>
          <w:p w14:paraId="38154DBE">
            <w:pPr>
              <w:rPr>
                <w:rFonts w:hint="eastAsia"/>
                <w:sz w:val="24"/>
                <w:szCs w:val="24"/>
              </w:rPr>
            </w:pPr>
            <w:r>
              <w:rPr>
                <w:rFonts w:hint="eastAsia"/>
                <w:sz w:val="24"/>
                <w:szCs w:val="24"/>
              </w:rPr>
              <w:t>背灯MTBF：30000；</w:t>
            </w:r>
          </w:p>
          <w:p w14:paraId="245438E8">
            <w:pPr>
              <w:rPr>
                <w:rFonts w:hint="eastAsia"/>
                <w:sz w:val="24"/>
                <w:szCs w:val="24"/>
              </w:rPr>
            </w:pPr>
            <w:r>
              <w:rPr>
                <w:rFonts w:hint="eastAsia"/>
                <w:sz w:val="24"/>
                <w:szCs w:val="24"/>
              </w:rPr>
              <w:t>支持触摸点数：≥10点；</w:t>
            </w:r>
          </w:p>
        </w:tc>
      </w:tr>
      <w:tr w14:paraId="0FB7F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846" w:type="dxa"/>
            <w:vAlign w:val="center"/>
          </w:tcPr>
          <w:p w14:paraId="0752A00F">
            <w:pPr>
              <w:pStyle w:val="7"/>
              <w:numPr>
                <w:ilvl w:val="0"/>
                <w:numId w:val="2"/>
              </w:numPr>
              <w:ind w:left="0" w:firstLine="0"/>
              <w:rPr>
                <w:rFonts w:hint="eastAsia"/>
              </w:rPr>
            </w:pPr>
          </w:p>
        </w:tc>
        <w:tc>
          <w:tcPr>
            <w:tcW w:w="1701" w:type="dxa"/>
            <w:vAlign w:val="center"/>
          </w:tcPr>
          <w:p w14:paraId="07D31B9F">
            <w:pPr>
              <w:rPr>
                <w:rFonts w:hint="eastAsia"/>
                <w:sz w:val="24"/>
                <w:szCs w:val="24"/>
              </w:rPr>
            </w:pPr>
            <w:r>
              <w:rPr>
                <w:rFonts w:hint="eastAsia"/>
                <w:sz w:val="24"/>
                <w:szCs w:val="24"/>
              </w:rPr>
              <w:t>电动读卡器</w:t>
            </w:r>
          </w:p>
        </w:tc>
        <w:tc>
          <w:tcPr>
            <w:tcW w:w="6520" w:type="dxa"/>
            <w:vAlign w:val="center"/>
          </w:tcPr>
          <w:p w14:paraId="48D750C4">
            <w:pPr>
              <w:rPr>
                <w:rFonts w:hint="eastAsia"/>
                <w:sz w:val="24"/>
                <w:szCs w:val="24"/>
              </w:rPr>
            </w:pPr>
            <w:r>
              <w:rPr>
                <w:rFonts w:hint="eastAsia"/>
                <w:sz w:val="24"/>
                <w:szCs w:val="24"/>
              </w:rPr>
              <w:t>三卡合一：磁卡读、IC卡读写、非接IC卡读写；</w:t>
            </w:r>
          </w:p>
          <w:p w14:paraId="07425D47">
            <w:pPr>
              <w:rPr>
                <w:rFonts w:hint="eastAsia"/>
                <w:sz w:val="24"/>
                <w:szCs w:val="24"/>
              </w:rPr>
            </w:pPr>
            <w:r>
              <w:rPr>
                <w:rFonts w:hint="eastAsia"/>
                <w:sz w:val="24"/>
                <w:szCs w:val="24"/>
              </w:rPr>
              <w:t>支持电动吸卡吐卡，带后端吞卡功能，受控进、退、吞卡的功能；</w:t>
            </w:r>
          </w:p>
          <w:p w14:paraId="180119C1">
            <w:pPr>
              <w:rPr>
                <w:rFonts w:hint="eastAsia"/>
                <w:sz w:val="24"/>
                <w:szCs w:val="24"/>
              </w:rPr>
            </w:pPr>
            <w:r>
              <w:rPr>
                <w:rFonts w:hint="eastAsia"/>
                <w:sz w:val="24"/>
                <w:szCs w:val="24"/>
              </w:rPr>
              <w:t>通过CE、EMC、PBOC3.0、EMV4.1认证；</w:t>
            </w:r>
          </w:p>
          <w:p w14:paraId="7D45B3FC">
            <w:pPr>
              <w:rPr>
                <w:rFonts w:hint="eastAsia"/>
                <w:sz w:val="24"/>
                <w:szCs w:val="24"/>
              </w:rPr>
            </w:pPr>
            <w:r>
              <w:rPr>
                <w:rFonts w:hint="eastAsia"/>
                <w:sz w:val="24"/>
                <w:szCs w:val="24"/>
              </w:rPr>
              <w:t>卡机寿命：≥100万次；</w:t>
            </w:r>
          </w:p>
          <w:p w14:paraId="7616D78F">
            <w:pPr>
              <w:rPr>
                <w:rFonts w:hint="eastAsia"/>
                <w:sz w:val="24"/>
                <w:szCs w:val="24"/>
              </w:rPr>
            </w:pPr>
            <w:r>
              <w:rPr>
                <w:rFonts w:hint="eastAsia"/>
                <w:sz w:val="24"/>
                <w:szCs w:val="24"/>
              </w:rPr>
              <w:t>具有容错和特殊维护处理的功能：异常卡处理、掉电处理等；</w:t>
            </w:r>
          </w:p>
          <w:p w14:paraId="65588374">
            <w:pPr>
              <w:rPr>
                <w:rFonts w:hint="eastAsia"/>
                <w:sz w:val="24"/>
                <w:szCs w:val="24"/>
              </w:rPr>
            </w:pPr>
            <w:r>
              <w:rPr>
                <w:rFonts w:hint="eastAsia"/>
                <w:sz w:val="24"/>
                <w:szCs w:val="24"/>
              </w:rPr>
              <w:t>通信接口RS-232；</w:t>
            </w:r>
          </w:p>
        </w:tc>
      </w:tr>
      <w:tr w14:paraId="5FD6D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846" w:type="dxa"/>
            <w:vAlign w:val="center"/>
          </w:tcPr>
          <w:p w14:paraId="1FCE77AD">
            <w:pPr>
              <w:pStyle w:val="7"/>
              <w:numPr>
                <w:ilvl w:val="0"/>
                <w:numId w:val="2"/>
              </w:numPr>
              <w:ind w:left="0" w:firstLine="0"/>
              <w:rPr>
                <w:rFonts w:hint="eastAsia"/>
              </w:rPr>
            </w:pPr>
          </w:p>
        </w:tc>
        <w:tc>
          <w:tcPr>
            <w:tcW w:w="1701" w:type="dxa"/>
            <w:vAlign w:val="center"/>
          </w:tcPr>
          <w:p w14:paraId="4ED1FBD7">
            <w:pPr>
              <w:rPr>
                <w:rFonts w:hint="eastAsia"/>
                <w:sz w:val="24"/>
                <w:szCs w:val="24"/>
              </w:rPr>
            </w:pPr>
            <w:r>
              <w:rPr>
                <w:rFonts w:hint="eastAsia"/>
                <w:sz w:val="24"/>
                <w:szCs w:val="24"/>
              </w:rPr>
              <w:t>密码键盘</w:t>
            </w:r>
          </w:p>
        </w:tc>
        <w:tc>
          <w:tcPr>
            <w:tcW w:w="6520" w:type="dxa"/>
            <w:vAlign w:val="center"/>
          </w:tcPr>
          <w:p w14:paraId="68B758B2">
            <w:pPr>
              <w:rPr>
                <w:rFonts w:hint="eastAsia"/>
                <w:sz w:val="24"/>
                <w:szCs w:val="24"/>
              </w:rPr>
            </w:pPr>
            <w:r>
              <w:rPr>
                <w:rFonts w:hint="eastAsia"/>
                <w:sz w:val="24"/>
                <w:szCs w:val="24"/>
              </w:rPr>
              <w:t>EPP硬件加密键盘；</w:t>
            </w:r>
          </w:p>
          <w:p w14:paraId="5CD28C97">
            <w:pPr>
              <w:rPr>
                <w:rFonts w:hint="eastAsia"/>
                <w:sz w:val="24"/>
                <w:szCs w:val="24"/>
              </w:rPr>
            </w:pPr>
            <w:r>
              <w:rPr>
                <w:rFonts w:hint="eastAsia"/>
                <w:sz w:val="24"/>
                <w:szCs w:val="24"/>
              </w:rPr>
              <w:t>通过银联认证和国密认证；</w:t>
            </w:r>
          </w:p>
          <w:p w14:paraId="1468543A">
            <w:pPr>
              <w:rPr>
                <w:rFonts w:hint="eastAsia"/>
                <w:sz w:val="24"/>
                <w:szCs w:val="24"/>
              </w:rPr>
            </w:pPr>
            <w:r>
              <w:rPr>
                <w:rFonts w:hint="eastAsia"/>
                <w:sz w:val="24"/>
                <w:szCs w:val="24"/>
              </w:rPr>
              <w:t>支持DES，3DES算法，支持国密、ATM协议；</w:t>
            </w:r>
          </w:p>
          <w:p w14:paraId="0173E09C">
            <w:pPr>
              <w:rPr>
                <w:rFonts w:hint="eastAsia"/>
                <w:sz w:val="24"/>
                <w:szCs w:val="24"/>
              </w:rPr>
            </w:pPr>
            <w:r>
              <w:rPr>
                <w:rFonts w:hint="eastAsia"/>
                <w:sz w:val="24"/>
                <w:szCs w:val="24"/>
              </w:rPr>
              <w:t>使用3DES加密算法加密2048字节的运算时间小于2秒；</w:t>
            </w:r>
          </w:p>
          <w:p w14:paraId="557C623D">
            <w:pPr>
              <w:rPr>
                <w:rFonts w:hint="eastAsia"/>
                <w:sz w:val="24"/>
                <w:szCs w:val="24"/>
              </w:rPr>
            </w:pPr>
            <w:r>
              <w:rPr>
                <w:rFonts w:hint="eastAsia"/>
                <w:sz w:val="24"/>
                <w:szCs w:val="24"/>
              </w:rPr>
              <w:t>软件：支持最新Triple DES算法,可以支持ANSI 、ECB等标准；</w:t>
            </w:r>
          </w:p>
          <w:p w14:paraId="1FD1A664">
            <w:pPr>
              <w:rPr>
                <w:rFonts w:hint="eastAsia"/>
                <w:sz w:val="24"/>
                <w:szCs w:val="24"/>
              </w:rPr>
            </w:pPr>
            <w:r>
              <w:rPr>
                <w:rFonts w:hint="eastAsia"/>
                <w:sz w:val="24"/>
                <w:szCs w:val="24"/>
              </w:rPr>
              <w:t>密钥管理：可存储16组64位的密钥，只能写入不能读出，加密后如拆离键盘，必须自动启动密钥自毁功能；</w:t>
            </w:r>
          </w:p>
          <w:p w14:paraId="48E8FC4E">
            <w:pPr>
              <w:rPr>
                <w:rFonts w:hint="eastAsia"/>
                <w:sz w:val="24"/>
                <w:szCs w:val="24"/>
              </w:rPr>
            </w:pPr>
            <w:r>
              <w:rPr>
                <w:rFonts w:hint="eastAsia"/>
                <w:sz w:val="24"/>
                <w:szCs w:val="24"/>
              </w:rPr>
              <w:t>键数：16键金属键盘，10个数字键，6个功能键；</w:t>
            </w:r>
          </w:p>
          <w:p w14:paraId="2D241C19">
            <w:pPr>
              <w:rPr>
                <w:rFonts w:hint="eastAsia"/>
                <w:sz w:val="24"/>
                <w:szCs w:val="24"/>
              </w:rPr>
            </w:pPr>
            <w:r>
              <w:rPr>
                <w:rFonts w:hint="eastAsia"/>
                <w:sz w:val="24"/>
                <w:szCs w:val="24"/>
              </w:rPr>
              <w:t>整体设计可实现防尘，防水，防暴；</w:t>
            </w:r>
          </w:p>
          <w:p w14:paraId="5D56A3CD">
            <w:pPr>
              <w:rPr>
                <w:rFonts w:hint="eastAsia"/>
                <w:sz w:val="24"/>
                <w:szCs w:val="24"/>
              </w:rPr>
            </w:pPr>
            <w:r>
              <w:rPr>
                <w:rFonts w:hint="eastAsia"/>
                <w:sz w:val="24"/>
                <w:szCs w:val="24"/>
              </w:rPr>
              <w:t>加装密码键盘防护罩；</w:t>
            </w:r>
          </w:p>
        </w:tc>
      </w:tr>
      <w:tr w14:paraId="0D259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46" w:type="dxa"/>
            <w:vAlign w:val="center"/>
          </w:tcPr>
          <w:p w14:paraId="50D8927F">
            <w:pPr>
              <w:pStyle w:val="7"/>
              <w:numPr>
                <w:ilvl w:val="0"/>
                <w:numId w:val="2"/>
              </w:numPr>
              <w:ind w:left="0" w:firstLine="0"/>
              <w:rPr>
                <w:rFonts w:hint="eastAsia"/>
              </w:rPr>
            </w:pPr>
          </w:p>
        </w:tc>
        <w:tc>
          <w:tcPr>
            <w:tcW w:w="1701" w:type="dxa"/>
            <w:vAlign w:val="center"/>
          </w:tcPr>
          <w:p w14:paraId="1F78FA97">
            <w:pPr>
              <w:rPr>
                <w:rFonts w:hint="eastAsia"/>
                <w:sz w:val="24"/>
                <w:szCs w:val="24"/>
              </w:rPr>
            </w:pPr>
            <w:r>
              <w:rPr>
                <w:rFonts w:hint="eastAsia"/>
                <w:sz w:val="24"/>
                <w:szCs w:val="24"/>
              </w:rPr>
              <w:t>凭条打印机</w:t>
            </w:r>
          </w:p>
        </w:tc>
        <w:tc>
          <w:tcPr>
            <w:tcW w:w="6520" w:type="dxa"/>
            <w:vAlign w:val="center"/>
          </w:tcPr>
          <w:p w14:paraId="7F322E45">
            <w:pPr>
              <w:rPr>
                <w:rFonts w:hint="eastAsia"/>
                <w:sz w:val="24"/>
                <w:szCs w:val="24"/>
              </w:rPr>
            </w:pPr>
            <w:r>
              <w:rPr>
                <w:rFonts w:hint="eastAsia"/>
                <w:sz w:val="24"/>
                <w:szCs w:val="24"/>
              </w:rPr>
              <w:t>打印方式：行式热敏打印；</w:t>
            </w:r>
          </w:p>
          <w:p w14:paraId="43260ED8">
            <w:pPr>
              <w:rPr>
                <w:rFonts w:hint="eastAsia"/>
                <w:sz w:val="24"/>
                <w:szCs w:val="24"/>
              </w:rPr>
            </w:pPr>
            <w:r>
              <w:rPr>
                <w:rFonts w:hint="eastAsia"/>
                <w:sz w:val="24"/>
                <w:szCs w:val="24"/>
              </w:rPr>
              <w:t>纸张宽度：80mm；</w:t>
            </w:r>
          </w:p>
          <w:p w14:paraId="26143F06">
            <w:pPr>
              <w:rPr>
                <w:rFonts w:hint="eastAsia"/>
                <w:sz w:val="24"/>
                <w:szCs w:val="24"/>
              </w:rPr>
            </w:pPr>
            <w:r>
              <w:rPr>
                <w:rFonts w:hint="eastAsia"/>
                <w:sz w:val="24"/>
                <w:szCs w:val="24"/>
              </w:rPr>
              <w:t>分辨率：≥203dpi；</w:t>
            </w:r>
          </w:p>
          <w:p w14:paraId="71C298C0">
            <w:pPr>
              <w:rPr>
                <w:rFonts w:hint="eastAsia"/>
                <w:sz w:val="24"/>
                <w:szCs w:val="24"/>
              </w:rPr>
            </w:pPr>
            <w:r>
              <w:rPr>
                <w:rFonts w:hint="eastAsia"/>
                <w:sz w:val="24"/>
                <w:szCs w:val="24"/>
              </w:rPr>
              <w:t>打印速度：≥150mm/s；</w:t>
            </w:r>
          </w:p>
          <w:p w14:paraId="516AFA35">
            <w:pPr>
              <w:rPr>
                <w:rFonts w:hint="eastAsia"/>
                <w:sz w:val="24"/>
                <w:szCs w:val="24"/>
              </w:rPr>
            </w:pPr>
            <w:r>
              <w:rPr>
                <w:rFonts w:hint="eastAsia"/>
                <w:sz w:val="24"/>
                <w:szCs w:val="24"/>
              </w:rPr>
              <w:t>最大纸卷：外径≥150mm；</w:t>
            </w:r>
          </w:p>
          <w:p w14:paraId="100D91DB">
            <w:pPr>
              <w:rPr>
                <w:rFonts w:hint="eastAsia"/>
                <w:sz w:val="24"/>
                <w:szCs w:val="24"/>
              </w:rPr>
            </w:pPr>
            <w:r>
              <w:rPr>
                <w:rFonts w:hint="eastAsia"/>
                <w:sz w:val="24"/>
                <w:szCs w:val="24"/>
              </w:rPr>
              <w:t>打印头寿命：≥50KM，切刀寿命：≥100万次；</w:t>
            </w:r>
          </w:p>
          <w:p w14:paraId="73A146C9">
            <w:pPr>
              <w:rPr>
                <w:rFonts w:hint="eastAsia"/>
                <w:sz w:val="24"/>
                <w:szCs w:val="24"/>
              </w:rPr>
            </w:pPr>
            <w:r>
              <w:rPr>
                <w:rFonts w:hint="eastAsia"/>
                <w:sz w:val="24"/>
                <w:szCs w:val="24"/>
              </w:rPr>
              <w:t>有防堵纸、黑白检测、纸将尽、纸尽传感器检测功能</w:t>
            </w:r>
          </w:p>
        </w:tc>
      </w:tr>
      <w:tr w14:paraId="1EA2F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846" w:type="dxa"/>
            <w:vAlign w:val="center"/>
          </w:tcPr>
          <w:p w14:paraId="753D0EBA">
            <w:pPr>
              <w:pStyle w:val="7"/>
              <w:numPr>
                <w:ilvl w:val="0"/>
                <w:numId w:val="2"/>
              </w:numPr>
              <w:ind w:left="0" w:firstLine="0"/>
              <w:rPr>
                <w:rFonts w:hint="eastAsia"/>
              </w:rPr>
            </w:pPr>
          </w:p>
        </w:tc>
        <w:tc>
          <w:tcPr>
            <w:tcW w:w="1701" w:type="dxa"/>
            <w:vAlign w:val="center"/>
          </w:tcPr>
          <w:p w14:paraId="426AE5D0">
            <w:pPr>
              <w:rPr>
                <w:rFonts w:hint="eastAsia"/>
                <w:sz w:val="24"/>
                <w:szCs w:val="24"/>
              </w:rPr>
            </w:pPr>
            <w:r>
              <w:rPr>
                <w:rFonts w:hint="eastAsia"/>
                <w:sz w:val="24"/>
                <w:szCs w:val="24"/>
              </w:rPr>
              <w:t>条码扫描模块</w:t>
            </w:r>
          </w:p>
        </w:tc>
        <w:tc>
          <w:tcPr>
            <w:tcW w:w="6520" w:type="dxa"/>
            <w:vAlign w:val="center"/>
          </w:tcPr>
          <w:p w14:paraId="19FF3A4D">
            <w:pPr>
              <w:rPr>
                <w:rFonts w:hint="eastAsia"/>
                <w:sz w:val="24"/>
                <w:szCs w:val="24"/>
              </w:rPr>
            </w:pPr>
            <w:r>
              <w:rPr>
                <w:rFonts w:hint="eastAsia"/>
                <w:sz w:val="24"/>
                <w:szCs w:val="24"/>
              </w:rPr>
              <w:t>像素：≥640x480；</w:t>
            </w:r>
          </w:p>
          <w:p w14:paraId="6F6C585D">
            <w:pPr>
              <w:rPr>
                <w:rFonts w:hint="eastAsia"/>
                <w:sz w:val="24"/>
                <w:szCs w:val="24"/>
              </w:rPr>
            </w:pPr>
            <w:r>
              <w:rPr>
                <w:rFonts w:hint="eastAsia"/>
                <w:sz w:val="24"/>
                <w:szCs w:val="24"/>
              </w:rPr>
              <w:t>光源：白光；</w:t>
            </w:r>
          </w:p>
          <w:p w14:paraId="2A86D110">
            <w:pPr>
              <w:rPr>
                <w:rFonts w:hint="eastAsia"/>
                <w:sz w:val="24"/>
                <w:szCs w:val="24"/>
              </w:rPr>
            </w:pPr>
            <w:r>
              <w:rPr>
                <w:rFonts w:hint="eastAsia"/>
                <w:sz w:val="24"/>
                <w:szCs w:val="24"/>
              </w:rPr>
              <w:t>指示：蜂鸣器 指示灯；</w:t>
            </w:r>
          </w:p>
          <w:p w14:paraId="110F0E3C">
            <w:pPr>
              <w:rPr>
                <w:rFonts w:hint="eastAsia"/>
                <w:sz w:val="24"/>
                <w:szCs w:val="24"/>
              </w:rPr>
            </w:pPr>
            <w:r>
              <w:rPr>
                <w:rFonts w:hint="eastAsia"/>
                <w:sz w:val="24"/>
                <w:szCs w:val="24"/>
              </w:rPr>
              <w:t>扫描类型：影像式；</w:t>
            </w:r>
          </w:p>
          <w:p w14:paraId="09A1C8DA">
            <w:pPr>
              <w:rPr>
                <w:rFonts w:hint="eastAsia"/>
                <w:sz w:val="24"/>
                <w:szCs w:val="24"/>
              </w:rPr>
            </w:pPr>
            <w:r>
              <w:rPr>
                <w:rFonts w:hint="eastAsia"/>
                <w:sz w:val="24"/>
                <w:szCs w:val="24"/>
              </w:rPr>
              <w:t>最小识别精度：≥5mil</w:t>
            </w:r>
          </w:p>
        </w:tc>
      </w:tr>
      <w:tr w14:paraId="1A5A9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846" w:type="dxa"/>
            <w:vAlign w:val="center"/>
          </w:tcPr>
          <w:p w14:paraId="6CF96089">
            <w:pPr>
              <w:pStyle w:val="7"/>
              <w:numPr>
                <w:ilvl w:val="0"/>
                <w:numId w:val="2"/>
              </w:numPr>
              <w:ind w:left="0" w:firstLine="0"/>
              <w:rPr>
                <w:rFonts w:hint="eastAsia"/>
              </w:rPr>
            </w:pPr>
          </w:p>
        </w:tc>
        <w:tc>
          <w:tcPr>
            <w:tcW w:w="1701" w:type="dxa"/>
            <w:vAlign w:val="center"/>
          </w:tcPr>
          <w:p w14:paraId="35F9643A">
            <w:pPr>
              <w:rPr>
                <w:rFonts w:hint="eastAsia"/>
                <w:sz w:val="24"/>
                <w:szCs w:val="24"/>
              </w:rPr>
            </w:pPr>
            <w:r>
              <w:rPr>
                <w:rFonts w:hint="eastAsia" w:cs="宋体"/>
                <w:sz w:val="24"/>
                <w:szCs w:val="24"/>
              </w:rPr>
              <w:t>实体铜章模块</w:t>
            </w:r>
          </w:p>
        </w:tc>
        <w:tc>
          <w:tcPr>
            <w:tcW w:w="6520" w:type="dxa"/>
            <w:vAlign w:val="center"/>
          </w:tcPr>
          <w:p w14:paraId="3B86D3AC">
            <w:pPr>
              <w:adjustRightInd w:val="0"/>
              <w:snapToGrid w:val="0"/>
              <w:rPr>
                <w:rFonts w:hint="eastAsia" w:cs="宋体"/>
                <w:sz w:val="24"/>
                <w:szCs w:val="24"/>
              </w:rPr>
            </w:pPr>
            <w:r>
              <w:rPr>
                <w:rFonts w:hint="eastAsia" w:cs="宋体"/>
                <w:sz w:val="24"/>
                <w:szCs w:val="24"/>
              </w:rPr>
              <w:t>支持盖章类型：A4、1/2A4、1/3A4</w:t>
            </w:r>
          </w:p>
          <w:p w14:paraId="3E7335B7">
            <w:pPr>
              <w:adjustRightInd w:val="0"/>
              <w:snapToGrid w:val="0"/>
              <w:rPr>
                <w:rFonts w:hint="eastAsia" w:cs="宋体"/>
                <w:sz w:val="24"/>
                <w:szCs w:val="24"/>
              </w:rPr>
            </w:pPr>
            <w:r>
              <w:rPr>
                <w:rFonts w:hint="eastAsia" w:cs="宋体"/>
                <w:sz w:val="24"/>
                <w:szCs w:val="24"/>
              </w:rPr>
              <w:t>盖章技术：滚动式实体盖章技术</w:t>
            </w:r>
          </w:p>
          <w:p w14:paraId="64E08B37">
            <w:pPr>
              <w:adjustRightInd w:val="0"/>
              <w:snapToGrid w:val="0"/>
              <w:rPr>
                <w:rFonts w:hint="eastAsia" w:cs="宋体"/>
                <w:sz w:val="24"/>
                <w:szCs w:val="24"/>
              </w:rPr>
            </w:pPr>
            <w:r>
              <w:rPr>
                <w:rFonts w:hint="eastAsia" w:cs="宋体"/>
                <w:sz w:val="24"/>
                <w:szCs w:val="24"/>
              </w:rPr>
              <w:t>盖章个数：可实现一张A4纸张上盖1～2个印章</w:t>
            </w:r>
          </w:p>
          <w:p w14:paraId="15499FBD">
            <w:pPr>
              <w:adjustRightInd w:val="0"/>
              <w:snapToGrid w:val="0"/>
              <w:rPr>
                <w:rFonts w:hint="eastAsia" w:cs="宋体"/>
                <w:sz w:val="24"/>
                <w:szCs w:val="24"/>
              </w:rPr>
            </w:pPr>
            <w:r>
              <w:rPr>
                <w:rFonts w:hint="eastAsia" w:cs="宋体"/>
                <w:sz w:val="24"/>
                <w:szCs w:val="24"/>
              </w:rPr>
              <w:t>盖章效果：印章清晰，美观，平整、清晰、印油均匀</w:t>
            </w:r>
          </w:p>
          <w:p w14:paraId="4481D892">
            <w:pPr>
              <w:adjustRightInd w:val="0"/>
              <w:snapToGrid w:val="0"/>
              <w:rPr>
                <w:rFonts w:hint="eastAsia" w:cs="宋体"/>
                <w:sz w:val="24"/>
                <w:szCs w:val="24"/>
              </w:rPr>
            </w:pPr>
            <w:r>
              <w:rPr>
                <w:rFonts w:hint="eastAsia" w:cs="宋体"/>
                <w:sz w:val="24"/>
                <w:szCs w:val="24"/>
              </w:rPr>
              <w:t>传输速度：可根据打印机的走纸速度进行调整</w:t>
            </w:r>
          </w:p>
          <w:p w14:paraId="445E3ABF">
            <w:pPr>
              <w:adjustRightInd w:val="0"/>
              <w:snapToGrid w:val="0"/>
              <w:rPr>
                <w:rFonts w:hint="eastAsia" w:cs="宋体"/>
                <w:sz w:val="24"/>
                <w:szCs w:val="24"/>
              </w:rPr>
            </w:pPr>
            <w:r>
              <w:rPr>
                <w:rFonts w:hint="eastAsia" w:cs="宋体"/>
                <w:sz w:val="24"/>
                <w:szCs w:val="24"/>
              </w:rPr>
              <w:t>印章材质：印章材质为铜材，坚固耐用，寿命大于100万次</w:t>
            </w:r>
          </w:p>
          <w:p w14:paraId="6E0085D4">
            <w:pPr>
              <w:adjustRightInd w:val="0"/>
              <w:snapToGrid w:val="0"/>
              <w:rPr>
                <w:rFonts w:hint="eastAsia" w:cs="宋体"/>
                <w:sz w:val="24"/>
                <w:szCs w:val="24"/>
              </w:rPr>
            </w:pPr>
            <w:r>
              <w:rPr>
                <w:rFonts w:hint="eastAsia" w:cs="宋体"/>
                <w:sz w:val="24"/>
                <w:szCs w:val="24"/>
              </w:rPr>
              <w:t>印章数量：1到2个</w:t>
            </w:r>
          </w:p>
          <w:p w14:paraId="251B0B0E">
            <w:pPr>
              <w:adjustRightInd w:val="0"/>
              <w:snapToGrid w:val="0"/>
              <w:rPr>
                <w:rFonts w:hint="eastAsia" w:cs="宋体"/>
                <w:sz w:val="24"/>
                <w:szCs w:val="24"/>
              </w:rPr>
            </w:pPr>
            <w:r>
              <w:rPr>
                <w:rFonts w:hint="eastAsia" w:cs="宋体"/>
                <w:sz w:val="24"/>
                <w:szCs w:val="24"/>
              </w:rPr>
              <w:t>封章方式：机械封章</w:t>
            </w:r>
          </w:p>
          <w:p w14:paraId="1983E770">
            <w:pPr>
              <w:adjustRightInd w:val="0"/>
              <w:snapToGrid w:val="0"/>
              <w:rPr>
                <w:rFonts w:hint="eastAsia" w:cs="宋体"/>
                <w:sz w:val="24"/>
                <w:szCs w:val="24"/>
              </w:rPr>
            </w:pPr>
            <w:r>
              <w:rPr>
                <w:rFonts w:hint="eastAsia" w:cs="宋体"/>
                <w:sz w:val="24"/>
                <w:szCs w:val="24"/>
              </w:rPr>
              <w:t>安全性：具备独立锁</w:t>
            </w:r>
          </w:p>
          <w:p w14:paraId="745274DF">
            <w:pPr>
              <w:rPr>
                <w:rFonts w:hint="eastAsia"/>
                <w:sz w:val="24"/>
                <w:szCs w:val="24"/>
              </w:rPr>
            </w:pPr>
            <w:r>
              <w:rPr>
                <w:rFonts w:hint="eastAsia" w:cs="宋体"/>
                <w:sz w:val="24"/>
                <w:szCs w:val="24"/>
              </w:rPr>
              <w:t>更换印油：印油添加支持外部注入，每次加油可清晰盖章至少15000个</w:t>
            </w:r>
          </w:p>
        </w:tc>
      </w:tr>
      <w:tr w14:paraId="2F5DF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846" w:type="dxa"/>
            <w:vAlign w:val="center"/>
          </w:tcPr>
          <w:p w14:paraId="1F5D40EB">
            <w:pPr>
              <w:pStyle w:val="7"/>
              <w:numPr>
                <w:ilvl w:val="0"/>
                <w:numId w:val="2"/>
              </w:numPr>
              <w:ind w:left="0" w:firstLine="0"/>
              <w:rPr>
                <w:rFonts w:hint="eastAsia"/>
              </w:rPr>
            </w:pPr>
          </w:p>
        </w:tc>
        <w:tc>
          <w:tcPr>
            <w:tcW w:w="1701" w:type="dxa"/>
            <w:vAlign w:val="center"/>
          </w:tcPr>
          <w:p w14:paraId="57904465">
            <w:pPr>
              <w:rPr>
                <w:rFonts w:hint="eastAsia"/>
                <w:sz w:val="24"/>
                <w:szCs w:val="24"/>
              </w:rPr>
            </w:pPr>
            <w:r>
              <w:rPr>
                <w:rFonts w:hint="eastAsia"/>
                <w:sz w:val="24"/>
                <w:szCs w:val="24"/>
              </w:rPr>
              <w:t xml:space="preserve">黑白激光打印         </w:t>
            </w:r>
          </w:p>
        </w:tc>
        <w:tc>
          <w:tcPr>
            <w:tcW w:w="6520" w:type="dxa"/>
            <w:vAlign w:val="center"/>
          </w:tcPr>
          <w:p w14:paraId="549CCC67">
            <w:pPr>
              <w:rPr>
                <w:rFonts w:hint="eastAsia"/>
                <w:sz w:val="24"/>
                <w:szCs w:val="24"/>
              </w:rPr>
            </w:pPr>
            <w:r>
              <w:rPr>
                <w:rFonts w:hint="eastAsia"/>
                <w:sz w:val="24"/>
                <w:szCs w:val="24"/>
              </w:rPr>
              <w:t>打印速度：≥40ppm；</w:t>
            </w:r>
          </w:p>
          <w:p w14:paraId="1E5A72F9">
            <w:pPr>
              <w:rPr>
                <w:rFonts w:hint="eastAsia"/>
                <w:sz w:val="24"/>
                <w:szCs w:val="24"/>
              </w:rPr>
            </w:pPr>
            <w:r>
              <w:rPr>
                <w:rFonts w:hint="eastAsia"/>
                <w:sz w:val="24"/>
                <w:szCs w:val="24"/>
              </w:rPr>
              <w:t>最高分辨率： 1200x1200dpi；</w:t>
            </w:r>
          </w:p>
          <w:p w14:paraId="0EF96EFC">
            <w:pPr>
              <w:rPr>
                <w:rFonts w:hint="eastAsia"/>
                <w:sz w:val="24"/>
                <w:szCs w:val="24"/>
              </w:rPr>
            </w:pPr>
            <w:r>
              <w:rPr>
                <w:rFonts w:hint="eastAsia"/>
                <w:sz w:val="24"/>
                <w:szCs w:val="24"/>
              </w:rPr>
              <w:t>首页打印时间：≤6.3秒；</w:t>
            </w:r>
          </w:p>
          <w:p w14:paraId="122379B0">
            <w:pPr>
              <w:rPr>
                <w:rFonts w:hint="eastAsia"/>
                <w:sz w:val="24"/>
                <w:szCs w:val="24"/>
              </w:rPr>
            </w:pPr>
            <w:r>
              <w:rPr>
                <w:rFonts w:hint="eastAsia"/>
                <w:sz w:val="24"/>
                <w:szCs w:val="24"/>
              </w:rPr>
              <w:t>月打印负荷：最高80000页；</w:t>
            </w:r>
          </w:p>
          <w:p w14:paraId="76001AFE">
            <w:pPr>
              <w:rPr>
                <w:rFonts w:hint="eastAsia"/>
                <w:sz w:val="24"/>
                <w:szCs w:val="24"/>
              </w:rPr>
            </w:pPr>
            <w:r>
              <w:rPr>
                <w:rFonts w:hint="eastAsia"/>
                <w:sz w:val="24"/>
                <w:szCs w:val="24"/>
              </w:rPr>
              <w:t>配置第二纸盒，可按需求放置A4和A5纸张;</w:t>
            </w:r>
          </w:p>
          <w:p w14:paraId="7D187C1A">
            <w:pPr>
              <w:rPr>
                <w:rFonts w:hint="eastAsia"/>
                <w:sz w:val="24"/>
                <w:szCs w:val="24"/>
              </w:rPr>
            </w:pPr>
            <w:r>
              <w:rPr>
                <w:rFonts w:hint="eastAsia"/>
                <w:sz w:val="24"/>
                <w:szCs w:val="24"/>
              </w:rPr>
              <w:t>标配</w:t>
            </w:r>
            <w:r>
              <w:rPr>
                <w:sz w:val="24"/>
                <w:szCs w:val="24"/>
              </w:rPr>
              <w:t>2</w:t>
            </w:r>
            <w:r>
              <w:rPr>
                <w:rFonts w:hint="eastAsia"/>
                <w:sz w:val="24"/>
                <w:szCs w:val="24"/>
              </w:rPr>
              <w:t>50页进纸盒；加装第二个 550 页纸盒；</w:t>
            </w:r>
          </w:p>
        </w:tc>
      </w:tr>
      <w:tr w14:paraId="4268D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846" w:type="dxa"/>
            <w:vAlign w:val="center"/>
          </w:tcPr>
          <w:p w14:paraId="4411A7C6">
            <w:pPr>
              <w:pStyle w:val="7"/>
              <w:numPr>
                <w:ilvl w:val="0"/>
                <w:numId w:val="2"/>
              </w:numPr>
              <w:ind w:left="0" w:firstLine="0"/>
              <w:rPr>
                <w:rFonts w:hint="eastAsia"/>
              </w:rPr>
            </w:pPr>
          </w:p>
        </w:tc>
        <w:tc>
          <w:tcPr>
            <w:tcW w:w="1701" w:type="dxa"/>
            <w:vAlign w:val="center"/>
          </w:tcPr>
          <w:p w14:paraId="745E2A66">
            <w:pPr>
              <w:rPr>
                <w:rFonts w:hint="eastAsia"/>
                <w:sz w:val="24"/>
                <w:szCs w:val="24"/>
              </w:rPr>
            </w:pPr>
            <w:r>
              <w:rPr>
                <w:rFonts w:hint="eastAsia"/>
                <w:sz w:val="24"/>
                <w:szCs w:val="24"/>
              </w:rPr>
              <w:t>二代身份证阅读器</w:t>
            </w:r>
          </w:p>
        </w:tc>
        <w:tc>
          <w:tcPr>
            <w:tcW w:w="6520" w:type="dxa"/>
            <w:vAlign w:val="center"/>
          </w:tcPr>
          <w:p w14:paraId="5B8D723B">
            <w:pPr>
              <w:rPr>
                <w:rFonts w:hint="eastAsia"/>
                <w:sz w:val="24"/>
                <w:szCs w:val="24"/>
              </w:rPr>
            </w:pPr>
            <w:r>
              <w:rPr>
                <w:rFonts w:hint="eastAsia"/>
                <w:sz w:val="24"/>
                <w:szCs w:val="24"/>
              </w:rPr>
              <w:t>射频技术：符合ISO14443 Type B标准；</w:t>
            </w:r>
          </w:p>
          <w:p w14:paraId="5C641FEB">
            <w:pPr>
              <w:rPr>
                <w:rFonts w:hint="eastAsia"/>
                <w:sz w:val="24"/>
                <w:szCs w:val="24"/>
              </w:rPr>
            </w:pPr>
            <w:r>
              <w:rPr>
                <w:rFonts w:hint="eastAsia"/>
                <w:sz w:val="24"/>
                <w:szCs w:val="24"/>
              </w:rPr>
              <w:t>保密模块：身份证核验系统专用模块；</w:t>
            </w:r>
          </w:p>
          <w:p w14:paraId="08295616">
            <w:pPr>
              <w:rPr>
                <w:rFonts w:hint="eastAsia"/>
                <w:sz w:val="24"/>
                <w:szCs w:val="24"/>
              </w:rPr>
            </w:pPr>
            <w:r>
              <w:rPr>
                <w:rFonts w:hint="eastAsia"/>
                <w:sz w:val="24"/>
                <w:szCs w:val="24"/>
              </w:rPr>
              <w:t>读卡距离：0-50mm；</w:t>
            </w:r>
          </w:p>
          <w:p w14:paraId="34D84A0F">
            <w:pPr>
              <w:rPr>
                <w:rFonts w:hint="eastAsia"/>
                <w:sz w:val="24"/>
                <w:szCs w:val="24"/>
              </w:rPr>
            </w:pPr>
            <w:r>
              <w:rPr>
                <w:rFonts w:hint="eastAsia"/>
                <w:sz w:val="24"/>
                <w:szCs w:val="24"/>
              </w:rPr>
              <w:t>读卡时间：1.0s；</w:t>
            </w:r>
          </w:p>
          <w:p w14:paraId="689DE089">
            <w:pPr>
              <w:rPr>
                <w:rFonts w:hint="eastAsia"/>
                <w:sz w:val="24"/>
                <w:szCs w:val="24"/>
              </w:rPr>
            </w:pPr>
            <w:r>
              <w:rPr>
                <w:rFonts w:hint="eastAsia"/>
                <w:sz w:val="24"/>
                <w:szCs w:val="24"/>
              </w:rPr>
              <w:t>通讯接口：USB通讯接口；</w:t>
            </w:r>
          </w:p>
          <w:p w14:paraId="0BBBE5BA">
            <w:pPr>
              <w:rPr>
                <w:rFonts w:hint="eastAsia"/>
                <w:sz w:val="24"/>
                <w:szCs w:val="24"/>
              </w:rPr>
            </w:pPr>
            <w:r>
              <w:rPr>
                <w:rFonts w:hint="eastAsia"/>
                <w:sz w:val="24"/>
                <w:szCs w:val="24"/>
              </w:rPr>
              <w:t>通过公安部认证；</w:t>
            </w:r>
          </w:p>
        </w:tc>
      </w:tr>
      <w:tr w14:paraId="259A6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846" w:type="dxa"/>
            <w:vAlign w:val="center"/>
          </w:tcPr>
          <w:p w14:paraId="4A271BA8">
            <w:pPr>
              <w:pStyle w:val="7"/>
              <w:numPr>
                <w:ilvl w:val="0"/>
                <w:numId w:val="2"/>
              </w:numPr>
              <w:ind w:left="0" w:firstLine="0"/>
              <w:rPr>
                <w:rFonts w:hint="eastAsia"/>
              </w:rPr>
            </w:pPr>
          </w:p>
        </w:tc>
        <w:tc>
          <w:tcPr>
            <w:tcW w:w="1701" w:type="dxa"/>
            <w:vAlign w:val="center"/>
          </w:tcPr>
          <w:p w14:paraId="595CE561">
            <w:pPr>
              <w:rPr>
                <w:rFonts w:hint="eastAsia"/>
                <w:sz w:val="24"/>
                <w:szCs w:val="24"/>
              </w:rPr>
            </w:pPr>
            <w:r>
              <w:rPr>
                <w:rFonts w:hint="eastAsia" w:cs="宋体"/>
                <w:sz w:val="24"/>
                <w:szCs w:val="24"/>
              </w:rPr>
              <w:t>电子健康码不干胶打印模块</w:t>
            </w:r>
          </w:p>
        </w:tc>
        <w:tc>
          <w:tcPr>
            <w:tcW w:w="6520" w:type="dxa"/>
            <w:vAlign w:val="center"/>
          </w:tcPr>
          <w:p w14:paraId="5BD8A2E9">
            <w:pPr>
              <w:adjustRightInd w:val="0"/>
              <w:snapToGrid w:val="0"/>
              <w:rPr>
                <w:rFonts w:hint="eastAsia" w:cs="宋体"/>
                <w:sz w:val="24"/>
                <w:szCs w:val="24"/>
              </w:rPr>
            </w:pPr>
            <w:r>
              <w:rPr>
                <w:rFonts w:hint="eastAsia" w:cs="宋体"/>
                <w:sz w:val="24"/>
                <w:szCs w:val="24"/>
              </w:rPr>
              <w:t>32位RISC处理器</w:t>
            </w:r>
          </w:p>
          <w:p w14:paraId="20EEBB55">
            <w:pPr>
              <w:adjustRightInd w:val="0"/>
              <w:snapToGrid w:val="0"/>
              <w:rPr>
                <w:rFonts w:hint="eastAsia" w:cs="宋体"/>
                <w:sz w:val="24"/>
                <w:szCs w:val="24"/>
              </w:rPr>
            </w:pPr>
            <w:r>
              <w:rPr>
                <w:rFonts w:hint="eastAsia" w:cs="宋体"/>
                <w:sz w:val="24"/>
                <w:szCs w:val="24"/>
              </w:rPr>
              <w:t>三种连接方式：串口、USB和并口；</w:t>
            </w:r>
          </w:p>
          <w:p w14:paraId="01957AEF">
            <w:pPr>
              <w:adjustRightInd w:val="0"/>
              <w:snapToGrid w:val="0"/>
              <w:rPr>
                <w:rFonts w:hint="eastAsia" w:cs="宋体"/>
                <w:sz w:val="24"/>
                <w:szCs w:val="24"/>
              </w:rPr>
            </w:pPr>
            <w:r>
              <w:rPr>
                <w:rFonts w:hint="eastAsia" w:cs="宋体"/>
                <w:sz w:val="24"/>
                <w:szCs w:val="24"/>
              </w:rPr>
              <w:t>打印方法：热转印和热敏模式；</w:t>
            </w:r>
          </w:p>
          <w:p w14:paraId="5E99C823">
            <w:pPr>
              <w:adjustRightInd w:val="0"/>
              <w:snapToGrid w:val="0"/>
              <w:rPr>
                <w:rFonts w:hint="eastAsia" w:cs="宋体"/>
                <w:sz w:val="24"/>
                <w:szCs w:val="24"/>
              </w:rPr>
            </w:pPr>
            <w:r>
              <w:rPr>
                <w:rFonts w:hint="eastAsia" w:cs="宋体"/>
                <w:sz w:val="24"/>
                <w:szCs w:val="24"/>
              </w:rPr>
              <w:t>分辨率：≥203dpi；</w:t>
            </w:r>
          </w:p>
          <w:p w14:paraId="4C9FD216">
            <w:pPr>
              <w:adjustRightInd w:val="0"/>
              <w:snapToGrid w:val="0"/>
              <w:rPr>
                <w:rFonts w:hint="eastAsia" w:cs="宋体"/>
                <w:sz w:val="24"/>
                <w:szCs w:val="24"/>
              </w:rPr>
            </w:pPr>
            <w:r>
              <w:rPr>
                <w:rFonts w:hint="eastAsia" w:cs="宋体"/>
                <w:sz w:val="24"/>
                <w:szCs w:val="24"/>
              </w:rPr>
              <w:t>内存：≥8MB；</w:t>
            </w:r>
          </w:p>
          <w:p w14:paraId="2A4B8676">
            <w:pPr>
              <w:adjustRightInd w:val="0"/>
              <w:snapToGrid w:val="0"/>
              <w:rPr>
                <w:rFonts w:hint="eastAsia" w:cs="宋体"/>
                <w:sz w:val="24"/>
                <w:szCs w:val="24"/>
              </w:rPr>
            </w:pPr>
            <w:r>
              <w:rPr>
                <w:rFonts w:hint="eastAsia" w:cs="宋体"/>
                <w:sz w:val="24"/>
                <w:szCs w:val="24"/>
              </w:rPr>
              <w:t>打印宽度：≥104mm；</w:t>
            </w:r>
          </w:p>
          <w:p w14:paraId="2E7228FF">
            <w:pPr>
              <w:adjustRightInd w:val="0"/>
              <w:snapToGrid w:val="0"/>
              <w:rPr>
                <w:rFonts w:hint="eastAsia" w:cs="宋体"/>
                <w:sz w:val="24"/>
                <w:szCs w:val="24"/>
              </w:rPr>
            </w:pPr>
            <w:r>
              <w:rPr>
                <w:rFonts w:hint="eastAsia" w:cs="宋体"/>
                <w:sz w:val="24"/>
                <w:szCs w:val="24"/>
              </w:rPr>
              <w:t>打印长度：≥990mm；</w:t>
            </w:r>
          </w:p>
          <w:p w14:paraId="6C9B8717">
            <w:pPr>
              <w:rPr>
                <w:rFonts w:hint="eastAsia"/>
                <w:sz w:val="24"/>
                <w:szCs w:val="24"/>
              </w:rPr>
            </w:pPr>
            <w:r>
              <w:rPr>
                <w:rFonts w:hint="eastAsia" w:cs="宋体"/>
                <w:sz w:val="24"/>
                <w:szCs w:val="24"/>
              </w:rPr>
              <w:t>打印速度：≥102mm/s；</w:t>
            </w:r>
          </w:p>
        </w:tc>
      </w:tr>
      <w:tr w14:paraId="3439B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46" w:type="dxa"/>
            <w:vAlign w:val="center"/>
          </w:tcPr>
          <w:p w14:paraId="30C7602E">
            <w:pPr>
              <w:pStyle w:val="7"/>
              <w:numPr>
                <w:ilvl w:val="0"/>
                <w:numId w:val="2"/>
              </w:numPr>
              <w:ind w:left="0" w:firstLine="0"/>
              <w:rPr>
                <w:rFonts w:hint="eastAsia"/>
              </w:rPr>
            </w:pPr>
          </w:p>
        </w:tc>
        <w:tc>
          <w:tcPr>
            <w:tcW w:w="1701" w:type="dxa"/>
            <w:vAlign w:val="center"/>
          </w:tcPr>
          <w:p w14:paraId="6BC196AE">
            <w:pPr>
              <w:rPr>
                <w:rFonts w:hint="eastAsia"/>
                <w:sz w:val="24"/>
                <w:szCs w:val="24"/>
              </w:rPr>
            </w:pPr>
            <w:r>
              <w:rPr>
                <w:rFonts w:hint="eastAsia"/>
                <w:sz w:val="24"/>
                <w:szCs w:val="24"/>
              </w:rPr>
              <w:t>亚克力面板</w:t>
            </w:r>
          </w:p>
        </w:tc>
        <w:tc>
          <w:tcPr>
            <w:tcW w:w="6520" w:type="dxa"/>
            <w:vAlign w:val="center"/>
          </w:tcPr>
          <w:p w14:paraId="7CBE8678">
            <w:pPr>
              <w:rPr>
                <w:rFonts w:hint="eastAsia"/>
                <w:sz w:val="24"/>
                <w:szCs w:val="24"/>
              </w:rPr>
            </w:pPr>
            <w:r>
              <w:rPr>
                <w:rFonts w:hint="eastAsia"/>
                <w:sz w:val="24"/>
                <w:szCs w:val="24"/>
              </w:rPr>
              <w:t>磨砂亚克力背光板，可定制医院LOGO</w:t>
            </w:r>
          </w:p>
        </w:tc>
      </w:tr>
    </w:tbl>
    <w:p w14:paraId="24C07703">
      <w:pPr>
        <w:spacing w:line="360" w:lineRule="auto"/>
        <w:rPr>
          <w:rFonts w:hint="eastAsia"/>
          <w:sz w:val="24"/>
          <w:szCs w:val="24"/>
        </w:rPr>
      </w:pPr>
    </w:p>
    <w:p w14:paraId="06A26ED5">
      <w:pPr>
        <w:spacing w:line="360" w:lineRule="auto"/>
        <w:ind w:firstLine="482"/>
        <w:rPr>
          <w:rFonts w:hint="eastAsia"/>
          <w:b/>
          <w:bCs/>
          <w:sz w:val="24"/>
          <w:szCs w:val="24"/>
        </w:rPr>
      </w:pPr>
      <w:r>
        <w:rPr>
          <w:rFonts w:hint="eastAsia"/>
          <w:b/>
          <w:bCs/>
          <w:sz w:val="24"/>
          <w:szCs w:val="24"/>
        </w:rPr>
        <w:t>2、自助售卖病例机硬件参数需求</w:t>
      </w:r>
    </w:p>
    <w:tbl>
      <w:tblPr>
        <w:tblStyle w:val="4"/>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1891"/>
        <w:gridCol w:w="6521"/>
      </w:tblGrid>
      <w:tr w14:paraId="07FC3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939" w:type="dxa"/>
            <w:vAlign w:val="center"/>
          </w:tcPr>
          <w:p w14:paraId="20829276">
            <w:pPr>
              <w:ind w:firstLine="482"/>
              <w:jc w:val="center"/>
              <w:rPr>
                <w:rFonts w:hint="eastAsia"/>
                <w:b/>
                <w:bCs/>
                <w:sz w:val="24"/>
                <w:szCs w:val="24"/>
              </w:rPr>
            </w:pPr>
            <w:r>
              <w:rPr>
                <w:rFonts w:hint="eastAsia"/>
                <w:b/>
                <w:bCs/>
                <w:sz w:val="24"/>
                <w:szCs w:val="24"/>
              </w:rPr>
              <w:t>序号</w:t>
            </w:r>
          </w:p>
        </w:tc>
        <w:tc>
          <w:tcPr>
            <w:tcW w:w="1891" w:type="dxa"/>
            <w:vAlign w:val="center"/>
          </w:tcPr>
          <w:p w14:paraId="4C396B5E">
            <w:pPr>
              <w:ind w:firstLine="482"/>
              <w:jc w:val="center"/>
              <w:rPr>
                <w:rFonts w:hint="eastAsia"/>
                <w:b/>
                <w:bCs/>
                <w:sz w:val="24"/>
                <w:szCs w:val="24"/>
              </w:rPr>
            </w:pPr>
            <w:r>
              <w:rPr>
                <w:rFonts w:hint="eastAsia"/>
                <w:b/>
                <w:bCs/>
                <w:sz w:val="24"/>
                <w:szCs w:val="24"/>
              </w:rPr>
              <w:t>功能模块</w:t>
            </w:r>
          </w:p>
        </w:tc>
        <w:tc>
          <w:tcPr>
            <w:tcW w:w="6521" w:type="dxa"/>
            <w:vAlign w:val="center"/>
          </w:tcPr>
          <w:p w14:paraId="51D8DF52">
            <w:pPr>
              <w:ind w:firstLine="482"/>
              <w:jc w:val="center"/>
              <w:rPr>
                <w:rFonts w:hint="eastAsia"/>
                <w:b/>
                <w:bCs/>
                <w:sz w:val="24"/>
                <w:szCs w:val="24"/>
              </w:rPr>
            </w:pPr>
            <w:r>
              <w:rPr>
                <w:rFonts w:hint="eastAsia"/>
                <w:b/>
                <w:bCs/>
                <w:sz w:val="24"/>
                <w:szCs w:val="24"/>
              </w:rPr>
              <w:t>技术参数</w:t>
            </w:r>
          </w:p>
        </w:tc>
      </w:tr>
      <w:tr w14:paraId="3B5FA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939" w:type="dxa"/>
            <w:vAlign w:val="center"/>
          </w:tcPr>
          <w:p w14:paraId="719906AE">
            <w:pPr>
              <w:pStyle w:val="7"/>
              <w:numPr>
                <w:ilvl w:val="0"/>
                <w:numId w:val="3"/>
              </w:numPr>
              <w:rPr>
                <w:rFonts w:hint="eastAsia"/>
              </w:rPr>
            </w:pPr>
          </w:p>
        </w:tc>
        <w:tc>
          <w:tcPr>
            <w:tcW w:w="1891" w:type="dxa"/>
            <w:vAlign w:val="center"/>
          </w:tcPr>
          <w:p w14:paraId="16A23ABF">
            <w:pPr>
              <w:rPr>
                <w:rFonts w:hint="eastAsia"/>
                <w:sz w:val="24"/>
                <w:szCs w:val="24"/>
              </w:rPr>
            </w:pPr>
            <w:r>
              <w:rPr>
                <w:rFonts w:hint="eastAsia"/>
                <w:sz w:val="24"/>
                <w:szCs w:val="24"/>
              </w:rPr>
              <w:t>机柜模块</w:t>
            </w:r>
          </w:p>
        </w:tc>
        <w:tc>
          <w:tcPr>
            <w:tcW w:w="6521" w:type="dxa"/>
            <w:vAlign w:val="center"/>
          </w:tcPr>
          <w:p w14:paraId="68B47CD6">
            <w:pPr>
              <w:rPr>
                <w:rFonts w:hint="eastAsia"/>
                <w:sz w:val="24"/>
                <w:szCs w:val="24"/>
              </w:rPr>
            </w:pPr>
            <w:r>
              <w:rPr>
                <w:rFonts w:hint="eastAsia"/>
                <w:sz w:val="24"/>
                <w:szCs w:val="24"/>
              </w:rPr>
              <w:t>材料：坚硬厚实不易变形；</w:t>
            </w:r>
          </w:p>
          <w:p w14:paraId="6F261A92">
            <w:pPr>
              <w:rPr>
                <w:rFonts w:hint="eastAsia"/>
                <w:sz w:val="24"/>
                <w:szCs w:val="24"/>
              </w:rPr>
            </w:pPr>
            <w:r>
              <w:rPr>
                <w:rFonts w:hint="eastAsia"/>
                <w:sz w:val="24"/>
                <w:szCs w:val="24"/>
              </w:rPr>
              <w:t>表层处理：防锈、防腐、耐磨；</w:t>
            </w:r>
          </w:p>
          <w:p w14:paraId="23D64468">
            <w:pPr>
              <w:rPr>
                <w:rFonts w:hint="eastAsia"/>
                <w:sz w:val="24"/>
                <w:szCs w:val="24"/>
              </w:rPr>
            </w:pPr>
            <w:r>
              <w:rPr>
                <w:rFonts w:hint="eastAsia"/>
                <w:sz w:val="24"/>
                <w:szCs w:val="24"/>
              </w:rPr>
              <w:t>内部结构：布线规范整齐；</w:t>
            </w:r>
          </w:p>
          <w:p w14:paraId="6E0B1CE0">
            <w:pPr>
              <w:rPr>
                <w:rFonts w:hint="eastAsia"/>
                <w:sz w:val="24"/>
                <w:szCs w:val="24"/>
              </w:rPr>
            </w:pPr>
            <w:r>
              <w:rPr>
                <w:rFonts w:hint="eastAsia"/>
                <w:sz w:val="24"/>
                <w:szCs w:val="24"/>
              </w:rPr>
              <w:t>外部结构：各部件模块与机柜结合紧密，布局合理；</w:t>
            </w:r>
          </w:p>
        </w:tc>
      </w:tr>
      <w:tr w14:paraId="1BB88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939" w:type="dxa"/>
            <w:vAlign w:val="center"/>
          </w:tcPr>
          <w:p w14:paraId="5FBFAD8D">
            <w:pPr>
              <w:pStyle w:val="7"/>
              <w:numPr>
                <w:ilvl w:val="0"/>
                <w:numId w:val="3"/>
              </w:numPr>
              <w:rPr>
                <w:rFonts w:hint="eastAsia"/>
              </w:rPr>
            </w:pPr>
          </w:p>
        </w:tc>
        <w:tc>
          <w:tcPr>
            <w:tcW w:w="1891" w:type="dxa"/>
            <w:vAlign w:val="center"/>
          </w:tcPr>
          <w:p w14:paraId="5771F375">
            <w:pPr>
              <w:rPr>
                <w:rFonts w:hint="eastAsia"/>
                <w:sz w:val="24"/>
                <w:szCs w:val="24"/>
              </w:rPr>
            </w:pPr>
            <w:r>
              <w:rPr>
                <w:rFonts w:hint="eastAsia"/>
                <w:sz w:val="24"/>
                <w:szCs w:val="24"/>
              </w:rPr>
              <w:t>工控主机</w:t>
            </w:r>
          </w:p>
        </w:tc>
        <w:tc>
          <w:tcPr>
            <w:tcW w:w="6521" w:type="dxa"/>
            <w:vAlign w:val="center"/>
          </w:tcPr>
          <w:p w14:paraId="4995A54C">
            <w:pPr>
              <w:rPr>
                <w:rFonts w:hint="eastAsia"/>
                <w:sz w:val="24"/>
                <w:szCs w:val="24"/>
              </w:rPr>
            </w:pPr>
            <w:r>
              <w:rPr>
                <w:rFonts w:hint="eastAsia"/>
                <w:sz w:val="24"/>
                <w:szCs w:val="24"/>
              </w:rPr>
              <w:t>CPU：</w:t>
            </w:r>
            <w:r>
              <w:rPr>
                <w:rFonts w:hint="eastAsia" w:cs="宋体"/>
                <w:sz w:val="24"/>
                <w:szCs w:val="24"/>
              </w:rPr>
              <w:t>参照或相当于</w:t>
            </w:r>
            <w:r>
              <w:rPr>
                <w:sz w:val="24"/>
                <w:szCs w:val="24"/>
              </w:rPr>
              <w:t>i</w:t>
            </w:r>
            <w:r>
              <w:rPr>
                <w:rFonts w:hint="eastAsia"/>
                <w:sz w:val="24"/>
                <w:szCs w:val="24"/>
              </w:rPr>
              <w:t>5 3.0GHz</w:t>
            </w:r>
            <w:r>
              <w:rPr>
                <w:rFonts w:hint="eastAsia" w:cs="宋体"/>
                <w:sz w:val="24"/>
                <w:szCs w:val="24"/>
              </w:rPr>
              <w:t>或以上；</w:t>
            </w:r>
          </w:p>
          <w:p w14:paraId="0CF32DA1">
            <w:pPr>
              <w:rPr>
                <w:rFonts w:hint="eastAsia"/>
                <w:sz w:val="24"/>
                <w:szCs w:val="24"/>
              </w:rPr>
            </w:pPr>
            <w:r>
              <w:rPr>
                <w:rFonts w:hint="eastAsia"/>
                <w:sz w:val="24"/>
                <w:szCs w:val="24"/>
              </w:rPr>
              <w:t>内存：16G或以上；</w:t>
            </w:r>
          </w:p>
          <w:p w14:paraId="682A24DF">
            <w:pPr>
              <w:rPr>
                <w:rFonts w:hint="eastAsia"/>
                <w:sz w:val="24"/>
                <w:szCs w:val="24"/>
              </w:rPr>
            </w:pPr>
            <w:r>
              <w:rPr>
                <w:rFonts w:hint="eastAsia"/>
                <w:sz w:val="24"/>
                <w:szCs w:val="24"/>
              </w:rPr>
              <w:t>硬盘：512G固态硬盘或以上；</w:t>
            </w:r>
          </w:p>
          <w:p w14:paraId="33D55F5F">
            <w:pPr>
              <w:rPr>
                <w:rFonts w:hint="eastAsia"/>
                <w:sz w:val="24"/>
                <w:szCs w:val="24"/>
              </w:rPr>
            </w:pPr>
            <w:r>
              <w:rPr>
                <w:rFonts w:hint="eastAsia"/>
                <w:sz w:val="24"/>
                <w:szCs w:val="24"/>
              </w:rPr>
              <w:t>预装Windows10 64位操作系统；</w:t>
            </w:r>
          </w:p>
        </w:tc>
      </w:tr>
      <w:tr w14:paraId="11EC8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39" w:type="dxa"/>
            <w:vAlign w:val="center"/>
          </w:tcPr>
          <w:p w14:paraId="11843E87">
            <w:pPr>
              <w:pStyle w:val="7"/>
              <w:numPr>
                <w:ilvl w:val="0"/>
                <w:numId w:val="3"/>
              </w:numPr>
              <w:rPr>
                <w:rFonts w:hint="eastAsia"/>
              </w:rPr>
            </w:pPr>
          </w:p>
        </w:tc>
        <w:tc>
          <w:tcPr>
            <w:tcW w:w="1891" w:type="dxa"/>
            <w:vAlign w:val="center"/>
          </w:tcPr>
          <w:p w14:paraId="195F8980">
            <w:pPr>
              <w:rPr>
                <w:rFonts w:hint="eastAsia"/>
                <w:sz w:val="24"/>
                <w:szCs w:val="24"/>
              </w:rPr>
            </w:pPr>
            <w:r>
              <w:rPr>
                <w:rFonts w:hint="eastAsia"/>
                <w:sz w:val="24"/>
                <w:szCs w:val="24"/>
              </w:rPr>
              <w:t>触显一体屏</w:t>
            </w:r>
          </w:p>
        </w:tc>
        <w:tc>
          <w:tcPr>
            <w:tcW w:w="6521" w:type="dxa"/>
            <w:vAlign w:val="center"/>
          </w:tcPr>
          <w:p w14:paraId="012ABFC8">
            <w:pPr>
              <w:rPr>
                <w:rFonts w:hint="eastAsia"/>
                <w:sz w:val="24"/>
                <w:szCs w:val="24"/>
              </w:rPr>
            </w:pPr>
            <w:r>
              <w:rPr>
                <w:rFonts w:hint="eastAsia"/>
                <w:sz w:val="24"/>
                <w:szCs w:val="24"/>
              </w:rPr>
              <w:t>尺寸/类型：≥39寸电容触显屏；</w:t>
            </w:r>
          </w:p>
          <w:p w14:paraId="600C0BAF">
            <w:pPr>
              <w:rPr>
                <w:rFonts w:hint="eastAsia"/>
                <w:sz w:val="24"/>
                <w:szCs w:val="24"/>
              </w:rPr>
            </w:pPr>
            <w:r>
              <w:rPr>
                <w:rFonts w:hint="eastAsia"/>
                <w:sz w:val="24"/>
                <w:szCs w:val="24"/>
              </w:rPr>
              <w:t>分辨率(像素)：≥1920*1080；</w:t>
            </w:r>
          </w:p>
          <w:p w14:paraId="492922F9">
            <w:pPr>
              <w:rPr>
                <w:rFonts w:hint="eastAsia"/>
                <w:sz w:val="24"/>
                <w:szCs w:val="24"/>
              </w:rPr>
            </w:pPr>
            <w:r>
              <w:rPr>
                <w:rFonts w:hint="eastAsia"/>
                <w:sz w:val="24"/>
                <w:szCs w:val="24"/>
              </w:rPr>
              <w:t>亮度：≥350cd/m</w:t>
            </w:r>
            <w:r>
              <w:rPr>
                <w:rFonts w:ascii="Calibri" w:hAnsi="Calibri" w:cs="Calibri"/>
                <w:sz w:val="24"/>
                <w:szCs w:val="24"/>
              </w:rPr>
              <w:t>²</w:t>
            </w:r>
            <w:r>
              <w:rPr>
                <w:rFonts w:hint="eastAsia"/>
                <w:sz w:val="24"/>
                <w:szCs w:val="24"/>
              </w:rPr>
              <w:t>；</w:t>
            </w:r>
          </w:p>
          <w:p w14:paraId="4A2F8D10">
            <w:pPr>
              <w:rPr>
                <w:rFonts w:hint="eastAsia"/>
                <w:sz w:val="24"/>
                <w:szCs w:val="24"/>
              </w:rPr>
            </w:pPr>
            <w:r>
              <w:rPr>
                <w:rFonts w:hint="eastAsia"/>
                <w:sz w:val="24"/>
                <w:szCs w:val="24"/>
              </w:rPr>
              <w:t>对比度：≥1200:1；</w:t>
            </w:r>
          </w:p>
          <w:p w14:paraId="1D437A27">
            <w:pPr>
              <w:rPr>
                <w:rFonts w:hint="eastAsia"/>
                <w:sz w:val="24"/>
                <w:szCs w:val="24"/>
              </w:rPr>
            </w:pPr>
            <w:r>
              <w:rPr>
                <w:rFonts w:hint="eastAsia"/>
                <w:sz w:val="24"/>
                <w:szCs w:val="24"/>
              </w:rPr>
              <w:t>色值：≥16.7M；</w:t>
            </w:r>
          </w:p>
          <w:p w14:paraId="40B1EDC1">
            <w:pPr>
              <w:rPr>
                <w:rFonts w:hint="eastAsia"/>
                <w:sz w:val="24"/>
                <w:szCs w:val="24"/>
              </w:rPr>
            </w:pPr>
            <w:r>
              <w:rPr>
                <w:rFonts w:hint="eastAsia"/>
                <w:sz w:val="24"/>
                <w:szCs w:val="24"/>
              </w:rPr>
              <w:t>可视角度(U/D/L/R)：89/89/89/89；</w:t>
            </w:r>
          </w:p>
          <w:p w14:paraId="04FAD8D0">
            <w:pPr>
              <w:rPr>
                <w:rFonts w:hint="eastAsia"/>
                <w:sz w:val="24"/>
                <w:szCs w:val="24"/>
              </w:rPr>
            </w:pPr>
            <w:r>
              <w:rPr>
                <w:rFonts w:hint="eastAsia"/>
                <w:sz w:val="24"/>
                <w:szCs w:val="24"/>
              </w:rPr>
              <w:t>响应时间：≤8ms；</w:t>
            </w:r>
          </w:p>
          <w:p w14:paraId="265C52EB">
            <w:pPr>
              <w:rPr>
                <w:rFonts w:hint="eastAsia"/>
                <w:sz w:val="24"/>
                <w:szCs w:val="24"/>
              </w:rPr>
            </w:pPr>
            <w:r>
              <w:rPr>
                <w:rFonts w:hint="eastAsia"/>
                <w:sz w:val="24"/>
                <w:szCs w:val="24"/>
              </w:rPr>
              <w:t>背灯MTBF：30000；</w:t>
            </w:r>
          </w:p>
          <w:p w14:paraId="3EE5D36B">
            <w:pPr>
              <w:rPr>
                <w:rFonts w:hint="eastAsia"/>
                <w:sz w:val="24"/>
                <w:szCs w:val="24"/>
              </w:rPr>
            </w:pPr>
            <w:r>
              <w:rPr>
                <w:rFonts w:hint="eastAsia"/>
                <w:sz w:val="24"/>
                <w:szCs w:val="24"/>
              </w:rPr>
              <w:t>支持触摸点数：≥10点；</w:t>
            </w:r>
          </w:p>
        </w:tc>
      </w:tr>
      <w:tr w14:paraId="0E5AF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39" w:type="dxa"/>
            <w:vAlign w:val="center"/>
          </w:tcPr>
          <w:p w14:paraId="39D383A5">
            <w:pPr>
              <w:pStyle w:val="7"/>
              <w:numPr>
                <w:ilvl w:val="0"/>
                <w:numId w:val="3"/>
              </w:numPr>
              <w:rPr>
                <w:rFonts w:hint="eastAsia"/>
              </w:rPr>
            </w:pPr>
          </w:p>
        </w:tc>
        <w:tc>
          <w:tcPr>
            <w:tcW w:w="1891" w:type="dxa"/>
            <w:vAlign w:val="center"/>
          </w:tcPr>
          <w:p w14:paraId="026E1E92">
            <w:pPr>
              <w:rPr>
                <w:rFonts w:hint="eastAsia"/>
                <w:sz w:val="24"/>
                <w:szCs w:val="24"/>
              </w:rPr>
            </w:pPr>
            <w:r>
              <w:rPr>
                <w:rFonts w:hint="eastAsia"/>
                <w:sz w:val="24"/>
                <w:szCs w:val="24"/>
              </w:rPr>
              <w:t>电动读卡器</w:t>
            </w:r>
          </w:p>
        </w:tc>
        <w:tc>
          <w:tcPr>
            <w:tcW w:w="6521" w:type="dxa"/>
            <w:vAlign w:val="center"/>
          </w:tcPr>
          <w:p w14:paraId="55978168">
            <w:pPr>
              <w:rPr>
                <w:rFonts w:hint="eastAsia"/>
                <w:sz w:val="24"/>
                <w:szCs w:val="24"/>
              </w:rPr>
            </w:pPr>
            <w:r>
              <w:rPr>
                <w:rFonts w:hint="eastAsia"/>
                <w:sz w:val="24"/>
                <w:szCs w:val="24"/>
              </w:rPr>
              <w:t>三卡合一：磁卡读、IC卡读写、非接IC卡读写；</w:t>
            </w:r>
          </w:p>
          <w:p w14:paraId="304C5FBB">
            <w:pPr>
              <w:rPr>
                <w:rFonts w:hint="eastAsia"/>
                <w:sz w:val="24"/>
                <w:szCs w:val="24"/>
              </w:rPr>
            </w:pPr>
            <w:r>
              <w:rPr>
                <w:rFonts w:hint="eastAsia"/>
                <w:sz w:val="24"/>
                <w:szCs w:val="24"/>
              </w:rPr>
              <w:t>支持电动吸卡吐卡，带后端吞卡功能，受控进、退、吞卡的功能；</w:t>
            </w:r>
          </w:p>
          <w:p w14:paraId="7D015774">
            <w:pPr>
              <w:rPr>
                <w:rFonts w:hint="eastAsia"/>
                <w:sz w:val="24"/>
                <w:szCs w:val="24"/>
              </w:rPr>
            </w:pPr>
            <w:r>
              <w:rPr>
                <w:rFonts w:hint="eastAsia"/>
                <w:sz w:val="24"/>
                <w:szCs w:val="24"/>
              </w:rPr>
              <w:t>通过CE、EMC、PBOC3.0、EMV4.1认证；</w:t>
            </w:r>
          </w:p>
          <w:p w14:paraId="37850B21">
            <w:pPr>
              <w:rPr>
                <w:rFonts w:hint="eastAsia"/>
                <w:sz w:val="24"/>
                <w:szCs w:val="24"/>
              </w:rPr>
            </w:pPr>
            <w:r>
              <w:rPr>
                <w:rFonts w:hint="eastAsia"/>
                <w:sz w:val="24"/>
                <w:szCs w:val="24"/>
              </w:rPr>
              <w:t>卡机寿命：≥100万次；</w:t>
            </w:r>
          </w:p>
          <w:p w14:paraId="0608D2EC">
            <w:pPr>
              <w:rPr>
                <w:rFonts w:hint="eastAsia"/>
                <w:sz w:val="24"/>
                <w:szCs w:val="24"/>
              </w:rPr>
            </w:pPr>
            <w:r>
              <w:rPr>
                <w:rFonts w:hint="eastAsia"/>
                <w:sz w:val="24"/>
                <w:szCs w:val="24"/>
              </w:rPr>
              <w:t>具有容错和特殊维护处理的功能：异常卡处理、掉电处理等；</w:t>
            </w:r>
          </w:p>
          <w:p w14:paraId="1B906AB9">
            <w:pPr>
              <w:rPr>
                <w:rFonts w:hint="eastAsia"/>
                <w:sz w:val="24"/>
                <w:szCs w:val="24"/>
              </w:rPr>
            </w:pPr>
            <w:r>
              <w:rPr>
                <w:rFonts w:hint="eastAsia"/>
                <w:sz w:val="24"/>
                <w:szCs w:val="24"/>
              </w:rPr>
              <w:t>通信接口RS-232；</w:t>
            </w:r>
          </w:p>
        </w:tc>
      </w:tr>
      <w:tr w14:paraId="5BB8C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939" w:type="dxa"/>
            <w:vAlign w:val="center"/>
          </w:tcPr>
          <w:p w14:paraId="53BCA7A3">
            <w:pPr>
              <w:pStyle w:val="7"/>
              <w:numPr>
                <w:ilvl w:val="0"/>
                <w:numId w:val="3"/>
              </w:numPr>
              <w:rPr>
                <w:rFonts w:hint="eastAsia"/>
              </w:rPr>
            </w:pPr>
          </w:p>
        </w:tc>
        <w:tc>
          <w:tcPr>
            <w:tcW w:w="1891" w:type="dxa"/>
            <w:vAlign w:val="center"/>
          </w:tcPr>
          <w:p w14:paraId="07780DA2">
            <w:pPr>
              <w:rPr>
                <w:rFonts w:hint="eastAsia"/>
                <w:sz w:val="24"/>
                <w:szCs w:val="24"/>
              </w:rPr>
            </w:pPr>
            <w:r>
              <w:rPr>
                <w:rFonts w:hint="eastAsia"/>
                <w:sz w:val="24"/>
                <w:szCs w:val="24"/>
              </w:rPr>
              <w:t>密码键盘</w:t>
            </w:r>
          </w:p>
        </w:tc>
        <w:tc>
          <w:tcPr>
            <w:tcW w:w="6521" w:type="dxa"/>
            <w:vAlign w:val="center"/>
          </w:tcPr>
          <w:p w14:paraId="23AFA52B">
            <w:pPr>
              <w:rPr>
                <w:rFonts w:hint="eastAsia"/>
                <w:sz w:val="24"/>
                <w:szCs w:val="24"/>
              </w:rPr>
            </w:pPr>
            <w:r>
              <w:rPr>
                <w:rFonts w:hint="eastAsia"/>
                <w:sz w:val="24"/>
                <w:szCs w:val="24"/>
              </w:rPr>
              <w:t>EPP硬件加密键盘；</w:t>
            </w:r>
          </w:p>
          <w:p w14:paraId="246027A2">
            <w:pPr>
              <w:rPr>
                <w:rFonts w:hint="eastAsia"/>
                <w:sz w:val="24"/>
                <w:szCs w:val="24"/>
              </w:rPr>
            </w:pPr>
            <w:r>
              <w:rPr>
                <w:rFonts w:hint="eastAsia"/>
                <w:sz w:val="24"/>
                <w:szCs w:val="24"/>
              </w:rPr>
              <w:t>通过银联认证和国密认证；</w:t>
            </w:r>
          </w:p>
          <w:p w14:paraId="17DD307F">
            <w:pPr>
              <w:rPr>
                <w:rFonts w:hint="eastAsia"/>
                <w:sz w:val="24"/>
                <w:szCs w:val="24"/>
              </w:rPr>
            </w:pPr>
            <w:r>
              <w:rPr>
                <w:rFonts w:hint="eastAsia"/>
                <w:sz w:val="24"/>
                <w:szCs w:val="24"/>
              </w:rPr>
              <w:t>支持DES，3DES算法，支持国密、ATM协议；</w:t>
            </w:r>
          </w:p>
          <w:p w14:paraId="1B9A25EC">
            <w:pPr>
              <w:rPr>
                <w:rFonts w:hint="eastAsia"/>
                <w:sz w:val="24"/>
                <w:szCs w:val="24"/>
              </w:rPr>
            </w:pPr>
            <w:r>
              <w:rPr>
                <w:rFonts w:hint="eastAsia"/>
                <w:sz w:val="24"/>
                <w:szCs w:val="24"/>
              </w:rPr>
              <w:t>使用3DES加密算法加密2048字节的运算时间小于2秒；</w:t>
            </w:r>
          </w:p>
          <w:p w14:paraId="03AD818A">
            <w:pPr>
              <w:rPr>
                <w:rFonts w:hint="eastAsia"/>
                <w:sz w:val="24"/>
                <w:szCs w:val="24"/>
              </w:rPr>
            </w:pPr>
            <w:r>
              <w:rPr>
                <w:rFonts w:hint="eastAsia"/>
                <w:sz w:val="24"/>
                <w:szCs w:val="24"/>
              </w:rPr>
              <w:t>软件：支持最新Triple DES算法,可以支持ANSI 、ECB等标准；</w:t>
            </w:r>
          </w:p>
          <w:p w14:paraId="324F4474">
            <w:pPr>
              <w:rPr>
                <w:rFonts w:hint="eastAsia"/>
                <w:sz w:val="24"/>
                <w:szCs w:val="24"/>
              </w:rPr>
            </w:pPr>
            <w:r>
              <w:rPr>
                <w:rFonts w:hint="eastAsia"/>
                <w:sz w:val="24"/>
                <w:szCs w:val="24"/>
              </w:rPr>
              <w:t>密钥管理：可存储16组64位的密钥，只能写入不能读出，加密后如拆离键盘，必须自动启动密钥自毁功能；</w:t>
            </w:r>
          </w:p>
          <w:p w14:paraId="2601EE42">
            <w:pPr>
              <w:rPr>
                <w:rFonts w:hint="eastAsia"/>
                <w:sz w:val="24"/>
                <w:szCs w:val="24"/>
              </w:rPr>
            </w:pPr>
            <w:r>
              <w:rPr>
                <w:rFonts w:hint="eastAsia"/>
                <w:sz w:val="24"/>
                <w:szCs w:val="24"/>
              </w:rPr>
              <w:t>键数：16键金属键盘，10个数字键，6个功能键；</w:t>
            </w:r>
          </w:p>
          <w:p w14:paraId="331E24D5">
            <w:pPr>
              <w:rPr>
                <w:rFonts w:hint="eastAsia"/>
                <w:sz w:val="24"/>
                <w:szCs w:val="24"/>
              </w:rPr>
            </w:pPr>
            <w:r>
              <w:rPr>
                <w:rFonts w:hint="eastAsia"/>
                <w:sz w:val="24"/>
                <w:szCs w:val="24"/>
              </w:rPr>
              <w:t>整体设计可实现防尘，防水，防暴；</w:t>
            </w:r>
          </w:p>
          <w:p w14:paraId="2677C477">
            <w:pPr>
              <w:rPr>
                <w:rFonts w:hint="eastAsia"/>
                <w:sz w:val="24"/>
                <w:szCs w:val="24"/>
              </w:rPr>
            </w:pPr>
            <w:r>
              <w:rPr>
                <w:rFonts w:hint="eastAsia"/>
                <w:sz w:val="24"/>
                <w:szCs w:val="24"/>
              </w:rPr>
              <w:t>加装密码键盘防护罩；</w:t>
            </w:r>
          </w:p>
        </w:tc>
      </w:tr>
      <w:tr w14:paraId="480ED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39" w:type="dxa"/>
            <w:vAlign w:val="center"/>
          </w:tcPr>
          <w:p w14:paraId="5BE3DE21">
            <w:pPr>
              <w:pStyle w:val="7"/>
              <w:numPr>
                <w:ilvl w:val="0"/>
                <w:numId w:val="3"/>
              </w:numPr>
              <w:rPr>
                <w:rFonts w:hint="eastAsia"/>
              </w:rPr>
            </w:pPr>
          </w:p>
        </w:tc>
        <w:tc>
          <w:tcPr>
            <w:tcW w:w="1891" w:type="dxa"/>
            <w:vAlign w:val="center"/>
          </w:tcPr>
          <w:p w14:paraId="4FCD7187">
            <w:pPr>
              <w:rPr>
                <w:rFonts w:hint="eastAsia"/>
                <w:sz w:val="24"/>
                <w:szCs w:val="24"/>
              </w:rPr>
            </w:pPr>
            <w:r>
              <w:rPr>
                <w:rFonts w:hint="eastAsia"/>
                <w:sz w:val="24"/>
                <w:szCs w:val="24"/>
              </w:rPr>
              <w:t>凭条打印机</w:t>
            </w:r>
          </w:p>
        </w:tc>
        <w:tc>
          <w:tcPr>
            <w:tcW w:w="6521" w:type="dxa"/>
            <w:vAlign w:val="center"/>
          </w:tcPr>
          <w:p w14:paraId="17892435">
            <w:pPr>
              <w:rPr>
                <w:rFonts w:hint="eastAsia"/>
                <w:sz w:val="24"/>
                <w:szCs w:val="24"/>
              </w:rPr>
            </w:pPr>
            <w:r>
              <w:rPr>
                <w:rFonts w:hint="eastAsia"/>
                <w:sz w:val="24"/>
                <w:szCs w:val="24"/>
              </w:rPr>
              <w:t>打印方式：行式热敏打印；</w:t>
            </w:r>
          </w:p>
          <w:p w14:paraId="033EC8C5">
            <w:pPr>
              <w:rPr>
                <w:rFonts w:hint="eastAsia"/>
                <w:sz w:val="24"/>
                <w:szCs w:val="24"/>
              </w:rPr>
            </w:pPr>
            <w:r>
              <w:rPr>
                <w:rFonts w:hint="eastAsia"/>
                <w:sz w:val="24"/>
                <w:szCs w:val="24"/>
              </w:rPr>
              <w:t>纸张宽度：80mm；</w:t>
            </w:r>
          </w:p>
          <w:p w14:paraId="1AA8D3EF">
            <w:pPr>
              <w:rPr>
                <w:rFonts w:hint="eastAsia"/>
                <w:sz w:val="24"/>
                <w:szCs w:val="24"/>
              </w:rPr>
            </w:pPr>
            <w:r>
              <w:rPr>
                <w:rFonts w:hint="eastAsia"/>
                <w:sz w:val="24"/>
                <w:szCs w:val="24"/>
              </w:rPr>
              <w:t>分辨率：≥203dpi；</w:t>
            </w:r>
          </w:p>
          <w:p w14:paraId="59D72B4D">
            <w:pPr>
              <w:rPr>
                <w:rFonts w:hint="eastAsia"/>
                <w:sz w:val="24"/>
                <w:szCs w:val="24"/>
              </w:rPr>
            </w:pPr>
            <w:r>
              <w:rPr>
                <w:rFonts w:hint="eastAsia"/>
                <w:sz w:val="24"/>
                <w:szCs w:val="24"/>
              </w:rPr>
              <w:t>打印速度：≥150mm/s；</w:t>
            </w:r>
          </w:p>
          <w:p w14:paraId="2EA511A6">
            <w:pPr>
              <w:rPr>
                <w:rFonts w:hint="eastAsia"/>
                <w:sz w:val="24"/>
                <w:szCs w:val="24"/>
              </w:rPr>
            </w:pPr>
            <w:r>
              <w:rPr>
                <w:rFonts w:hint="eastAsia"/>
                <w:sz w:val="24"/>
                <w:szCs w:val="24"/>
              </w:rPr>
              <w:t>最大纸卷：外径≥150mm；</w:t>
            </w:r>
          </w:p>
          <w:p w14:paraId="0DA2DDA2">
            <w:pPr>
              <w:rPr>
                <w:rFonts w:hint="eastAsia"/>
                <w:sz w:val="24"/>
                <w:szCs w:val="24"/>
              </w:rPr>
            </w:pPr>
            <w:r>
              <w:rPr>
                <w:rFonts w:hint="eastAsia"/>
                <w:sz w:val="24"/>
                <w:szCs w:val="24"/>
              </w:rPr>
              <w:t>打印头寿命：≥50KM，切刀寿命：≥100万次；</w:t>
            </w:r>
          </w:p>
          <w:p w14:paraId="3C1D388A">
            <w:pPr>
              <w:rPr>
                <w:rFonts w:hint="eastAsia"/>
                <w:sz w:val="24"/>
                <w:szCs w:val="24"/>
              </w:rPr>
            </w:pPr>
            <w:r>
              <w:rPr>
                <w:rFonts w:hint="eastAsia"/>
                <w:sz w:val="24"/>
                <w:szCs w:val="24"/>
              </w:rPr>
              <w:t>有防堵纸、黑白检测、纸将尽、纸尽传感器检测功能</w:t>
            </w:r>
          </w:p>
        </w:tc>
      </w:tr>
      <w:tr w14:paraId="5AFBF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939" w:type="dxa"/>
            <w:vAlign w:val="center"/>
          </w:tcPr>
          <w:p w14:paraId="7B93DD91">
            <w:pPr>
              <w:pStyle w:val="7"/>
              <w:numPr>
                <w:ilvl w:val="0"/>
                <w:numId w:val="3"/>
              </w:numPr>
              <w:rPr>
                <w:rFonts w:hint="eastAsia"/>
              </w:rPr>
            </w:pPr>
          </w:p>
        </w:tc>
        <w:tc>
          <w:tcPr>
            <w:tcW w:w="1891" w:type="dxa"/>
            <w:vAlign w:val="center"/>
          </w:tcPr>
          <w:p w14:paraId="72A80F0A">
            <w:pPr>
              <w:rPr>
                <w:rFonts w:hint="eastAsia"/>
                <w:sz w:val="24"/>
                <w:szCs w:val="24"/>
              </w:rPr>
            </w:pPr>
            <w:r>
              <w:rPr>
                <w:rFonts w:hint="eastAsia"/>
                <w:sz w:val="24"/>
                <w:szCs w:val="24"/>
              </w:rPr>
              <w:t>条码扫描模块</w:t>
            </w:r>
          </w:p>
        </w:tc>
        <w:tc>
          <w:tcPr>
            <w:tcW w:w="6521" w:type="dxa"/>
            <w:vAlign w:val="center"/>
          </w:tcPr>
          <w:p w14:paraId="3455ED24">
            <w:pPr>
              <w:rPr>
                <w:rFonts w:hint="eastAsia"/>
                <w:sz w:val="24"/>
                <w:szCs w:val="24"/>
              </w:rPr>
            </w:pPr>
            <w:r>
              <w:rPr>
                <w:rFonts w:hint="eastAsia"/>
                <w:sz w:val="24"/>
                <w:szCs w:val="24"/>
              </w:rPr>
              <w:t>像素：≥640x480；</w:t>
            </w:r>
          </w:p>
          <w:p w14:paraId="5F775751">
            <w:pPr>
              <w:rPr>
                <w:rFonts w:hint="eastAsia"/>
                <w:sz w:val="24"/>
                <w:szCs w:val="24"/>
              </w:rPr>
            </w:pPr>
            <w:r>
              <w:rPr>
                <w:rFonts w:hint="eastAsia"/>
                <w:sz w:val="24"/>
                <w:szCs w:val="24"/>
              </w:rPr>
              <w:t>光源：白光；</w:t>
            </w:r>
          </w:p>
          <w:p w14:paraId="005DA515">
            <w:pPr>
              <w:rPr>
                <w:rFonts w:hint="eastAsia"/>
                <w:sz w:val="24"/>
                <w:szCs w:val="24"/>
              </w:rPr>
            </w:pPr>
            <w:r>
              <w:rPr>
                <w:rFonts w:hint="eastAsia"/>
                <w:sz w:val="24"/>
                <w:szCs w:val="24"/>
              </w:rPr>
              <w:t>指示：蜂鸣器 指示灯；</w:t>
            </w:r>
          </w:p>
          <w:p w14:paraId="2392C443">
            <w:pPr>
              <w:rPr>
                <w:rFonts w:hint="eastAsia"/>
                <w:sz w:val="24"/>
                <w:szCs w:val="24"/>
              </w:rPr>
            </w:pPr>
            <w:r>
              <w:rPr>
                <w:rFonts w:hint="eastAsia"/>
                <w:sz w:val="24"/>
                <w:szCs w:val="24"/>
              </w:rPr>
              <w:t>扫描类型：影像式；</w:t>
            </w:r>
          </w:p>
          <w:p w14:paraId="50800992">
            <w:pPr>
              <w:rPr>
                <w:rFonts w:hint="eastAsia"/>
                <w:sz w:val="24"/>
                <w:szCs w:val="24"/>
              </w:rPr>
            </w:pPr>
            <w:r>
              <w:rPr>
                <w:rFonts w:hint="eastAsia"/>
                <w:sz w:val="24"/>
                <w:szCs w:val="24"/>
              </w:rPr>
              <w:t>最小识别精度：≥5mil</w:t>
            </w:r>
          </w:p>
        </w:tc>
      </w:tr>
      <w:tr w14:paraId="15E97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939" w:type="dxa"/>
            <w:vAlign w:val="center"/>
          </w:tcPr>
          <w:p w14:paraId="0F18BD7C">
            <w:pPr>
              <w:pStyle w:val="7"/>
              <w:numPr>
                <w:ilvl w:val="0"/>
                <w:numId w:val="3"/>
              </w:numPr>
              <w:rPr>
                <w:rFonts w:hint="eastAsia"/>
              </w:rPr>
            </w:pPr>
          </w:p>
        </w:tc>
        <w:tc>
          <w:tcPr>
            <w:tcW w:w="1891" w:type="dxa"/>
            <w:vAlign w:val="center"/>
          </w:tcPr>
          <w:p w14:paraId="4329F7F7">
            <w:pPr>
              <w:rPr>
                <w:rFonts w:hint="eastAsia"/>
                <w:sz w:val="24"/>
                <w:szCs w:val="24"/>
              </w:rPr>
            </w:pPr>
            <w:r>
              <w:rPr>
                <w:rFonts w:hint="eastAsia"/>
                <w:sz w:val="24"/>
                <w:szCs w:val="24"/>
              </w:rPr>
              <w:t>病历本发放模块</w:t>
            </w:r>
          </w:p>
        </w:tc>
        <w:tc>
          <w:tcPr>
            <w:tcW w:w="6521" w:type="dxa"/>
            <w:vAlign w:val="center"/>
          </w:tcPr>
          <w:p w14:paraId="3C1AA83B">
            <w:pPr>
              <w:widowControl/>
              <w:rPr>
                <w:rFonts w:hint="eastAsia"/>
                <w:sz w:val="24"/>
                <w:szCs w:val="24"/>
              </w:rPr>
            </w:pPr>
            <w:r>
              <w:rPr>
                <w:rFonts w:hint="eastAsia"/>
                <w:sz w:val="24"/>
                <w:szCs w:val="24"/>
              </w:rPr>
              <w:t>容量：≥80本(A4病历本，厚度小于2.5mm)；</w:t>
            </w:r>
          </w:p>
          <w:p w14:paraId="65B4AFAE">
            <w:pPr>
              <w:widowControl/>
              <w:rPr>
                <w:rFonts w:hint="eastAsia"/>
                <w:sz w:val="24"/>
                <w:szCs w:val="24"/>
              </w:rPr>
            </w:pPr>
            <w:r>
              <w:rPr>
                <w:rFonts w:hint="eastAsia"/>
                <w:sz w:val="24"/>
                <w:szCs w:val="24"/>
              </w:rPr>
              <w:t>支持串口通信，主机实时控制发放病历本；</w:t>
            </w:r>
          </w:p>
          <w:p w14:paraId="5FC494A7">
            <w:pPr>
              <w:widowControl/>
              <w:rPr>
                <w:rFonts w:hint="eastAsia"/>
                <w:sz w:val="24"/>
                <w:szCs w:val="24"/>
              </w:rPr>
            </w:pPr>
            <w:r>
              <w:rPr>
                <w:rFonts w:hint="eastAsia"/>
                <w:sz w:val="24"/>
                <w:szCs w:val="24"/>
              </w:rPr>
              <w:t>传送胶辊采用全胶辊设计，传送更顺畅；</w:t>
            </w:r>
          </w:p>
          <w:p w14:paraId="1387C0D5">
            <w:pPr>
              <w:widowControl/>
              <w:rPr>
                <w:rFonts w:hint="eastAsia"/>
                <w:sz w:val="24"/>
                <w:szCs w:val="24"/>
              </w:rPr>
            </w:pPr>
            <w:r>
              <w:rPr>
                <w:rFonts w:hint="eastAsia"/>
                <w:sz w:val="24"/>
                <w:szCs w:val="24"/>
              </w:rPr>
              <w:t>带缺证本检测功能；</w:t>
            </w:r>
          </w:p>
          <w:p w14:paraId="59FD7003">
            <w:pPr>
              <w:widowControl/>
              <w:rPr>
                <w:rFonts w:hint="eastAsia"/>
                <w:sz w:val="24"/>
                <w:szCs w:val="24"/>
              </w:rPr>
            </w:pPr>
            <w:r>
              <w:rPr>
                <w:rFonts w:hint="eastAsia"/>
                <w:sz w:val="24"/>
                <w:szCs w:val="24"/>
              </w:rPr>
              <w:t>采用恒力矩控制送证本，速度匹配灵活；</w:t>
            </w:r>
          </w:p>
          <w:p w14:paraId="6ABF0B9D">
            <w:pPr>
              <w:widowControl/>
              <w:rPr>
                <w:rFonts w:hint="eastAsia"/>
                <w:sz w:val="24"/>
                <w:szCs w:val="24"/>
              </w:rPr>
            </w:pPr>
            <w:r>
              <w:rPr>
                <w:rFonts w:hint="eastAsia"/>
                <w:sz w:val="24"/>
                <w:szCs w:val="24"/>
              </w:rPr>
              <w:t>可对接存折打印机，打印封面信息；</w:t>
            </w:r>
          </w:p>
          <w:p w14:paraId="3E2D6EC9">
            <w:pPr>
              <w:widowControl/>
              <w:rPr>
                <w:rFonts w:hint="eastAsia"/>
                <w:sz w:val="24"/>
                <w:szCs w:val="24"/>
              </w:rPr>
            </w:pPr>
            <w:r>
              <w:rPr>
                <w:rFonts w:hint="eastAsia"/>
                <w:sz w:val="24"/>
                <w:szCs w:val="24"/>
              </w:rPr>
              <w:t>支持多种尺寸病历本；</w:t>
            </w:r>
          </w:p>
          <w:p w14:paraId="6FFFEC4F">
            <w:pPr>
              <w:widowControl/>
              <w:rPr>
                <w:rFonts w:hint="eastAsia"/>
                <w:sz w:val="24"/>
                <w:szCs w:val="24"/>
              </w:rPr>
            </w:pPr>
            <w:r>
              <w:rPr>
                <w:rFonts w:hint="eastAsia"/>
                <w:sz w:val="24"/>
                <w:szCs w:val="24"/>
              </w:rPr>
              <w:t>对病历本纸张材质要求低，支持多种厚度的病历本；</w:t>
            </w:r>
          </w:p>
          <w:p w14:paraId="481983FE">
            <w:pPr>
              <w:rPr>
                <w:rFonts w:hint="eastAsia"/>
                <w:sz w:val="24"/>
                <w:szCs w:val="24"/>
              </w:rPr>
            </w:pPr>
            <w:r>
              <w:rPr>
                <w:rFonts w:hint="eastAsia"/>
                <w:sz w:val="24"/>
                <w:szCs w:val="24"/>
              </w:rPr>
              <w:t>支持实时查询设备状态、自动反馈状态数据；</w:t>
            </w:r>
          </w:p>
        </w:tc>
      </w:tr>
      <w:tr w14:paraId="16CFA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939" w:type="dxa"/>
            <w:vAlign w:val="center"/>
          </w:tcPr>
          <w:p w14:paraId="37FA1F01">
            <w:pPr>
              <w:pStyle w:val="7"/>
              <w:numPr>
                <w:ilvl w:val="0"/>
                <w:numId w:val="3"/>
              </w:numPr>
              <w:rPr>
                <w:rFonts w:hint="eastAsia"/>
              </w:rPr>
            </w:pPr>
          </w:p>
        </w:tc>
        <w:tc>
          <w:tcPr>
            <w:tcW w:w="1891" w:type="dxa"/>
            <w:vAlign w:val="center"/>
          </w:tcPr>
          <w:p w14:paraId="118439C4">
            <w:pPr>
              <w:rPr>
                <w:rFonts w:hint="eastAsia"/>
                <w:sz w:val="24"/>
                <w:szCs w:val="24"/>
              </w:rPr>
            </w:pPr>
            <w:r>
              <w:rPr>
                <w:rFonts w:hint="eastAsia"/>
                <w:sz w:val="24"/>
                <w:szCs w:val="24"/>
              </w:rPr>
              <w:t>二代身份证阅读器</w:t>
            </w:r>
          </w:p>
        </w:tc>
        <w:tc>
          <w:tcPr>
            <w:tcW w:w="6521" w:type="dxa"/>
            <w:vAlign w:val="center"/>
          </w:tcPr>
          <w:p w14:paraId="18A8C3DC">
            <w:pPr>
              <w:rPr>
                <w:rFonts w:hint="eastAsia"/>
                <w:sz w:val="24"/>
                <w:szCs w:val="24"/>
              </w:rPr>
            </w:pPr>
            <w:r>
              <w:rPr>
                <w:rFonts w:hint="eastAsia"/>
                <w:sz w:val="24"/>
                <w:szCs w:val="24"/>
              </w:rPr>
              <w:t>射频技术：符合ISO14443 Type B标准；</w:t>
            </w:r>
          </w:p>
          <w:p w14:paraId="1D6E967B">
            <w:pPr>
              <w:rPr>
                <w:rFonts w:hint="eastAsia"/>
                <w:sz w:val="24"/>
                <w:szCs w:val="24"/>
              </w:rPr>
            </w:pPr>
            <w:r>
              <w:rPr>
                <w:rFonts w:hint="eastAsia"/>
                <w:sz w:val="24"/>
                <w:szCs w:val="24"/>
              </w:rPr>
              <w:t>保密模块：身份证核验系统专用模块；</w:t>
            </w:r>
          </w:p>
          <w:p w14:paraId="368FB211">
            <w:pPr>
              <w:rPr>
                <w:rFonts w:hint="eastAsia"/>
                <w:sz w:val="24"/>
                <w:szCs w:val="24"/>
              </w:rPr>
            </w:pPr>
            <w:r>
              <w:rPr>
                <w:rFonts w:hint="eastAsia"/>
                <w:sz w:val="24"/>
                <w:szCs w:val="24"/>
              </w:rPr>
              <w:t>读卡距离：0-50mm；</w:t>
            </w:r>
          </w:p>
          <w:p w14:paraId="41AF17A8">
            <w:pPr>
              <w:rPr>
                <w:rFonts w:hint="eastAsia"/>
                <w:sz w:val="24"/>
                <w:szCs w:val="24"/>
              </w:rPr>
            </w:pPr>
            <w:r>
              <w:rPr>
                <w:rFonts w:hint="eastAsia"/>
                <w:sz w:val="24"/>
                <w:szCs w:val="24"/>
              </w:rPr>
              <w:t>读卡时间：1.0s；</w:t>
            </w:r>
          </w:p>
          <w:p w14:paraId="752B6DEE">
            <w:pPr>
              <w:rPr>
                <w:rFonts w:hint="eastAsia"/>
                <w:sz w:val="24"/>
                <w:szCs w:val="24"/>
              </w:rPr>
            </w:pPr>
            <w:r>
              <w:rPr>
                <w:rFonts w:hint="eastAsia"/>
                <w:sz w:val="24"/>
                <w:szCs w:val="24"/>
              </w:rPr>
              <w:t>通讯接口：USB通讯接口；</w:t>
            </w:r>
          </w:p>
          <w:p w14:paraId="1E2544DD">
            <w:pPr>
              <w:rPr>
                <w:rFonts w:hint="eastAsia"/>
                <w:sz w:val="24"/>
                <w:szCs w:val="24"/>
              </w:rPr>
            </w:pPr>
            <w:r>
              <w:rPr>
                <w:rFonts w:hint="eastAsia"/>
                <w:sz w:val="24"/>
                <w:szCs w:val="24"/>
              </w:rPr>
              <w:t>通过公安部认证；</w:t>
            </w:r>
          </w:p>
        </w:tc>
      </w:tr>
      <w:tr w14:paraId="185F5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939" w:type="dxa"/>
            <w:vAlign w:val="center"/>
          </w:tcPr>
          <w:p w14:paraId="364AAD79">
            <w:pPr>
              <w:pStyle w:val="7"/>
              <w:numPr>
                <w:ilvl w:val="0"/>
                <w:numId w:val="3"/>
              </w:numPr>
              <w:rPr>
                <w:rFonts w:hint="eastAsia"/>
              </w:rPr>
            </w:pPr>
          </w:p>
        </w:tc>
        <w:tc>
          <w:tcPr>
            <w:tcW w:w="1891" w:type="dxa"/>
            <w:vAlign w:val="center"/>
          </w:tcPr>
          <w:p w14:paraId="69EDCB0E">
            <w:pPr>
              <w:rPr>
                <w:rFonts w:hint="eastAsia"/>
                <w:sz w:val="24"/>
                <w:szCs w:val="24"/>
              </w:rPr>
            </w:pPr>
            <w:r>
              <w:rPr>
                <w:rFonts w:hint="eastAsia" w:cs="宋体"/>
                <w:sz w:val="24"/>
                <w:szCs w:val="24"/>
              </w:rPr>
              <w:t>电子健康码不干胶打印模块</w:t>
            </w:r>
          </w:p>
        </w:tc>
        <w:tc>
          <w:tcPr>
            <w:tcW w:w="6521" w:type="dxa"/>
            <w:vAlign w:val="center"/>
          </w:tcPr>
          <w:p w14:paraId="6293B897">
            <w:pPr>
              <w:adjustRightInd w:val="0"/>
              <w:snapToGrid w:val="0"/>
              <w:rPr>
                <w:rFonts w:hint="eastAsia" w:cs="宋体"/>
                <w:sz w:val="24"/>
                <w:szCs w:val="24"/>
              </w:rPr>
            </w:pPr>
            <w:r>
              <w:rPr>
                <w:rFonts w:hint="eastAsia" w:cs="宋体"/>
                <w:sz w:val="24"/>
                <w:szCs w:val="24"/>
              </w:rPr>
              <w:t>32位RISC处理器</w:t>
            </w:r>
          </w:p>
          <w:p w14:paraId="581D7742">
            <w:pPr>
              <w:adjustRightInd w:val="0"/>
              <w:snapToGrid w:val="0"/>
              <w:rPr>
                <w:rFonts w:hint="eastAsia" w:cs="宋体"/>
                <w:sz w:val="24"/>
                <w:szCs w:val="24"/>
              </w:rPr>
            </w:pPr>
            <w:r>
              <w:rPr>
                <w:rFonts w:hint="eastAsia" w:cs="宋体"/>
                <w:sz w:val="24"/>
                <w:szCs w:val="24"/>
              </w:rPr>
              <w:t>三种连接方式：串口、USB和并口；</w:t>
            </w:r>
          </w:p>
          <w:p w14:paraId="7D750939">
            <w:pPr>
              <w:adjustRightInd w:val="0"/>
              <w:snapToGrid w:val="0"/>
              <w:rPr>
                <w:rFonts w:hint="eastAsia" w:cs="宋体"/>
                <w:sz w:val="24"/>
                <w:szCs w:val="24"/>
              </w:rPr>
            </w:pPr>
            <w:r>
              <w:rPr>
                <w:rFonts w:hint="eastAsia" w:cs="宋体"/>
                <w:sz w:val="24"/>
                <w:szCs w:val="24"/>
              </w:rPr>
              <w:t>打印方法：热转印和热敏模式；</w:t>
            </w:r>
          </w:p>
          <w:p w14:paraId="0DEFBF47">
            <w:pPr>
              <w:adjustRightInd w:val="0"/>
              <w:snapToGrid w:val="0"/>
              <w:rPr>
                <w:rFonts w:hint="eastAsia" w:cs="宋体"/>
                <w:sz w:val="24"/>
                <w:szCs w:val="24"/>
              </w:rPr>
            </w:pPr>
            <w:r>
              <w:rPr>
                <w:rFonts w:hint="eastAsia" w:cs="宋体"/>
                <w:sz w:val="24"/>
                <w:szCs w:val="24"/>
              </w:rPr>
              <w:t>分辨率：≥203dpi；</w:t>
            </w:r>
          </w:p>
          <w:p w14:paraId="4189CC1A">
            <w:pPr>
              <w:adjustRightInd w:val="0"/>
              <w:snapToGrid w:val="0"/>
              <w:rPr>
                <w:rFonts w:hint="eastAsia" w:cs="宋体"/>
                <w:sz w:val="24"/>
                <w:szCs w:val="24"/>
              </w:rPr>
            </w:pPr>
            <w:r>
              <w:rPr>
                <w:rFonts w:hint="eastAsia" w:cs="宋体"/>
                <w:sz w:val="24"/>
                <w:szCs w:val="24"/>
              </w:rPr>
              <w:t>内存：≥8MB；</w:t>
            </w:r>
          </w:p>
          <w:p w14:paraId="5E67DBF5">
            <w:pPr>
              <w:adjustRightInd w:val="0"/>
              <w:snapToGrid w:val="0"/>
              <w:rPr>
                <w:rFonts w:hint="eastAsia" w:cs="宋体"/>
                <w:sz w:val="24"/>
                <w:szCs w:val="24"/>
              </w:rPr>
            </w:pPr>
            <w:r>
              <w:rPr>
                <w:rFonts w:hint="eastAsia" w:cs="宋体"/>
                <w:sz w:val="24"/>
                <w:szCs w:val="24"/>
              </w:rPr>
              <w:t>打印宽度：≥104mm；</w:t>
            </w:r>
          </w:p>
          <w:p w14:paraId="516E3007">
            <w:pPr>
              <w:adjustRightInd w:val="0"/>
              <w:snapToGrid w:val="0"/>
              <w:rPr>
                <w:rFonts w:hint="eastAsia" w:cs="宋体"/>
                <w:sz w:val="24"/>
                <w:szCs w:val="24"/>
              </w:rPr>
            </w:pPr>
            <w:r>
              <w:rPr>
                <w:rFonts w:hint="eastAsia" w:cs="宋体"/>
                <w:sz w:val="24"/>
                <w:szCs w:val="24"/>
              </w:rPr>
              <w:t>打印长度：≥990mm；</w:t>
            </w:r>
          </w:p>
          <w:p w14:paraId="0B355736">
            <w:pPr>
              <w:rPr>
                <w:rFonts w:hint="eastAsia"/>
                <w:sz w:val="24"/>
                <w:szCs w:val="24"/>
              </w:rPr>
            </w:pPr>
            <w:r>
              <w:rPr>
                <w:rFonts w:hint="eastAsia" w:cs="宋体"/>
                <w:sz w:val="24"/>
                <w:szCs w:val="24"/>
              </w:rPr>
              <w:t>打印速度：≥102mm/s；</w:t>
            </w:r>
          </w:p>
        </w:tc>
      </w:tr>
      <w:tr w14:paraId="1E2DC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39" w:type="dxa"/>
            <w:vAlign w:val="center"/>
          </w:tcPr>
          <w:p w14:paraId="1DA0469E">
            <w:pPr>
              <w:pStyle w:val="7"/>
              <w:numPr>
                <w:ilvl w:val="0"/>
                <w:numId w:val="3"/>
              </w:numPr>
              <w:rPr>
                <w:rFonts w:hint="eastAsia"/>
              </w:rPr>
            </w:pPr>
          </w:p>
        </w:tc>
        <w:tc>
          <w:tcPr>
            <w:tcW w:w="1891" w:type="dxa"/>
            <w:vAlign w:val="center"/>
          </w:tcPr>
          <w:p w14:paraId="28C1EDBF">
            <w:pPr>
              <w:rPr>
                <w:rFonts w:hint="eastAsia"/>
                <w:sz w:val="24"/>
                <w:szCs w:val="24"/>
              </w:rPr>
            </w:pPr>
            <w:r>
              <w:rPr>
                <w:rFonts w:hint="eastAsia"/>
                <w:sz w:val="24"/>
                <w:szCs w:val="24"/>
              </w:rPr>
              <w:t>亚克力面板</w:t>
            </w:r>
          </w:p>
        </w:tc>
        <w:tc>
          <w:tcPr>
            <w:tcW w:w="6521" w:type="dxa"/>
            <w:vAlign w:val="center"/>
          </w:tcPr>
          <w:p w14:paraId="32CA83C4">
            <w:pPr>
              <w:rPr>
                <w:rFonts w:hint="eastAsia"/>
                <w:sz w:val="24"/>
                <w:szCs w:val="24"/>
              </w:rPr>
            </w:pPr>
            <w:r>
              <w:rPr>
                <w:rFonts w:hint="eastAsia"/>
                <w:sz w:val="24"/>
                <w:szCs w:val="24"/>
              </w:rPr>
              <w:t>磨砂亚克力背光板，可定制医院LOGO</w:t>
            </w:r>
          </w:p>
        </w:tc>
      </w:tr>
    </w:tbl>
    <w:p w14:paraId="5D065983">
      <w:pPr>
        <w:spacing w:line="360" w:lineRule="auto"/>
        <w:rPr>
          <w:rFonts w:hint="eastAsia"/>
          <w:sz w:val="24"/>
          <w:szCs w:val="24"/>
        </w:rPr>
      </w:pPr>
    </w:p>
    <w:p w14:paraId="57A4EF99">
      <w:pPr>
        <w:spacing w:line="360" w:lineRule="auto"/>
        <w:ind w:firstLine="482"/>
        <w:rPr>
          <w:rFonts w:hint="eastAsia"/>
          <w:b/>
          <w:bCs/>
          <w:sz w:val="24"/>
          <w:szCs w:val="24"/>
        </w:rPr>
      </w:pPr>
      <w:r>
        <w:rPr>
          <w:rFonts w:hint="eastAsia"/>
          <w:b/>
          <w:bCs/>
          <w:sz w:val="24"/>
          <w:szCs w:val="24"/>
        </w:rPr>
        <w:t>3、</w:t>
      </w:r>
      <w:bookmarkStart w:id="1" w:name="_Hlk161066411"/>
      <w:r>
        <w:rPr>
          <w:rFonts w:hint="eastAsia"/>
          <w:b/>
          <w:bCs/>
          <w:sz w:val="24"/>
          <w:szCs w:val="24"/>
        </w:rPr>
        <w:t>自助服务系统软件</w:t>
      </w:r>
      <w:bookmarkEnd w:id="1"/>
      <w:r>
        <w:rPr>
          <w:rFonts w:hint="eastAsia"/>
          <w:b/>
          <w:bCs/>
          <w:sz w:val="24"/>
          <w:szCs w:val="24"/>
        </w:rPr>
        <w:t>功能需求</w:t>
      </w:r>
    </w:p>
    <w:tbl>
      <w:tblPr>
        <w:tblStyle w:val="4"/>
        <w:tblW w:w="9634" w:type="dxa"/>
        <w:tblInd w:w="0" w:type="dxa"/>
        <w:tblLayout w:type="autofit"/>
        <w:tblCellMar>
          <w:top w:w="0" w:type="dxa"/>
          <w:left w:w="108" w:type="dxa"/>
          <w:bottom w:w="0" w:type="dxa"/>
          <w:right w:w="108" w:type="dxa"/>
        </w:tblCellMar>
      </w:tblPr>
      <w:tblGrid>
        <w:gridCol w:w="1020"/>
        <w:gridCol w:w="2236"/>
        <w:gridCol w:w="6378"/>
      </w:tblGrid>
      <w:tr w14:paraId="57DF93E0">
        <w:tblPrEx>
          <w:tblCellMar>
            <w:top w:w="0" w:type="dxa"/>
            <w:left w:w="108" w:type="dxa"/>
            <w:bottom w:w="0" w:type="dxa"/>
            <w:right w:w="108" w:type="dxa"/>
          </w:tblCellMar>
        </w:tblPrEx>
        <w:trPr>
          <w:trHeight w:val="353" w:hRule="atLeast"/>
        </w:trPr>
        <w:tc>
          <w:tcPr>
            <w:tcW w:w="1020" w:type="dxa"/>
            <w:tcBorders>
              <w:top w:val="single" w:color="auto" w:sz="4" w:space="0"/>
              <w:left w:val="single" w:color="auto" w:sz="4" w:space="0"/>
              <w:bottom w:val="single" w:color="auto" w:sz="4" w:space="0"/>
              <w:right w:val="single" w:color="auto" w:sz="4" w:space="0"/>
            </w:tcBorders>
            <w:shd w:val="clear" w:color="auto" w:fill="auto"/>
            <w:noWrap/>
          </w:tcPr>
          <w:p w14:paraId="6D88A7D5">
            <w:pPr>
              <w:widowControl/>
              <w:jc w:val="center"/>
              <w:rPr>
                <w:rFonts w:hint="eastAsia"/>
                <w:b/>
                <w:bCs/>
                <w:sz w:val="24"/>
                <w:szCs w:val="24"/>
              </w:rPr>
            </w:pPr>
            <w:r>
              <w:rPr>
                <w:rFonts w:hint="eastAsia"/>
                <w:b/>
                <w:bCs/>
                <w:sz w:val="24"/>
                <w:szCs w:val="24"/>
              </w:rPr>
              <w:t>序号</w:t>
            </w:r>
          </w:p>
        </w:tc>
        <w:tc>
          <w:tcPr>
            <w:tcW w:w="2236" w:type="dxa"/>
            <w:tcBorders>
              <w:top w:val="single" w:color="auto" w:sz="4" w:space="0"/>
              <w:left w:val="nil"/>
              <w:bottom w:val="single" w:color="auto" w:sz="4" w:space="0"/>
              <w:right w:val="single" w:color="auto" w:sz="4" w:space="0"/>
            </w:tcBorders>
            <w:shd w:val="clear" w:color="auto" w:fill="auto"/>
            <w:noWrap/>
          </w:tcPr>
          <w:p w14:paraId="2E9B7BC2">
            <w:pPr>
              <w:widowControl/>
              <w:jc w:val="center"/>
              <w:rPr>
                <w:rFonts w:hint="eastAsia"/>
                <w:b/>
                <w:bCs/>
                <w:sz w:val="24"/>
                <w:szCs w:val="24"/>
              </w:rPr>
            </w:pPr>
            <w:r>
              <w:rPr>
                <w:rFonts w:hint="eastAsia"/>
                <w:b/>
                <w:bCs/>
                <w:sz w:val="24"/>
                <w:szCs w:val="24"/>
              </w:rPr>
              <w:t>业务功能列表</w:t>
            </w:r>
          </w:p>
        </w:tc>
        <w:tc>
          <w:tcPr>
            <w:tcW w:w="6378" w:type="dxa"/>
            <w:tcBorders>
              <w:top w:val="single" w:color="auto" w:sz="4" w:space="0"/>
              <w:left w:val="nil"/>
              <w:bottom w:val="single" w:color="auto" w:sz="4" w:space="0"/>
              <w:right w:val="single" w:color="auto" w:sz="4" w:space="0"/>
            </w:tcBorders>
            <w:shd w:val="clear" w:color="auto" w:fill="auto"/>
          </w:tcPr>
          <w:p w14:paraId="1DE7922D">
            <w:pPr>
              <w:widowControl/>
              <w:jc w:val="center"/>
              <w:rPr>
                <w:rFonts w:hint="eastAsia"/>
                <w:b/>
                <w:bCs/>
                <w:sz w:val="24"/>
                <w:szCs w:val="24"/>
              </w:rPr>
            </w:pPr>
            <w:r>
              <w:rPr>
                <w:rFonts w:hint="eastAsia"/>
                <w:b/>
                <w:bCs/>
                <w:sz w:val="24"/>
                <w:szCs w:val="24"/>
              </w:rPr>
              <w:t>功能描述</w:t>
            </w:r>
          </w:p>
        </w:tc>
      </w:tr>
      <w:tr w14:paraId="44285868">
        <w:tblPrEx>
          <w:tblCellMar>
            <w:top w:w="0" w:type="dxa"/>
            <w:left w:w="108" w:type="dxa"/>
            <w:bottom w:w="0" w:type="dxa"/>
            <w:right w:w="108" w:type="dxa"/>
          </w:tblCellMar>
        </w:tblPrEx>
        <w:trPr>
          <w:trHeight w:val="278" w:hRule="atLeast"/>
        </w:trPr>
        <w:tc>
          <w:tcPr>
            <w:tcW w:w="1020" w:type="dxa"/>
            <w:vMerge w:val="restart"/>
            <w:tcBorders>
              <w:top w:val="nil"/>
              <w:left w:val="single" w:color="auto" w:sz="4" w:space="0"/>
              <w:bottom w:val="single" w:color="auto" w:sz="4" w:space="0"/>
              <w:right w:val="single" w:color="auto" w:sz="4" w:space="0"/>
            </w:tcBorders>
            <w:shd w:val="clear" w:color="auto" w:fill="auto"/>
            <w:noWrap/>
            <w:vAlign w:val="center"/>
          </w:tcPr>
          <w:p w14:paraId="3738D5D0">
            <w:pPr>
              <w:widowControl/>
              <w:jc w:val="center"/>
              <w:rPr>
                <w:rFonts w:hint="eastAsia"/>
                <w:sz w:val="24"/>
                <w:szCs w:val="24"/>
              </w:rPr>
            </w:pPr>
            <w:r>
              <w:rPr>
                <w:rFonts w:hint="eastAsia"/>
                <w:sz w:val="24"/>
                <w:szCs w:val="24"/>
              </w:rPr>
              <w:t>1</w:t>
            </w:r>
          </w:p>
        </w:tc>
        <w:tc>
          <w:tcPr>
            <w:tcW w:w="2236" w:type="dxa"/>
            <w:vMerge w:val="restart"/>
            <w:tcBorders>
              <w:top w:val="nil"/>
              <w:left w:val="single" w:color="auto" w:sz="4" w:space="0"/>
              <w:bottom w:val="single" w:color="auto" w:sz="4" w:space="0"/>
              <w:right w:val="single" w:color="auto" w:sz="4" w:space="0"/>
            </w:tcBorders>
            <w:shd w:val="clear" w:color="auto" w:fill="auto"/>
            <w:noWrap/>
            <w:vAlign w:val="center"/>
          </w:tcPr>
          <w:p w14:paraId="1A6F5373">
            <w:pPr>
              <w:widowControl/>
              <w:rPr>
                <w:rFonts w:hint="eastAsia"/>
                <w:sz w:val="24"/>
                <w:szCs w:val="24"/>
              </w:rPr>
            </w:pPr>
            <w:r>
              <w:rPr>
                <w:rFonts w:hint="eastAsia"/>
                <w:sz w:val="24"/>
                <w:szCs w:val="24"/>
              </w:rPr>
              <w:t>自助建档</w:t>
            </w:r>
          </w:p>
        </w:tc>
        <w:tc>
          <w:tcPr>
            <w:tcW w:w="6378" w:type="dxa"/>
            <w:tcBorders>
              <w:top w:val="nil"/>
              <w:left w:val="nil"/>
              <w:bottom w:val="single" w:color="auto" w:sz="4" w:space="0"/>
              <w:right w:val="single" w:color="auto" w:sz="4" w:space="0"/>
            </w:tcBorders>
            <w:shd w:val="clear" w:color="auto" w:fill="auto"/>
            <w:vAlign w:val="center"/>
          </w:tcPr>
          <w:p w14:paraId="3BE10FCF">
            <w:pPr>
              <w:widowControl/>
              <w:rPr>
                <w:rFonts w:hint="eastAsia"/>
                <w:sz w:val="24"/>
                <w:szCs w:val="24"/>
              </w:rPr>
            </w:pPr>
            <w:r>
              <w:rPr>
                <w:rFonts w:hint="eastAsia"/>
                <w:sz w:val="24"/>
                <w:szCs w:val="24"/>
              </w:rPr>
              <w:t>在自助设备上支持使用身份证完成院内建档功能</w:t>
            </w:r>
          </w:p>
        </w:tc>
      </w:tr>
      <w:tr w14:paraId="67E8D139">
        <w:tblPrEx>
          <w:tblCellMar>
            <w:top w:w="0" w:type="dxa"/>
            <w:left w:w="108" w:type="dxa"/>
            <w:bottom w:w="0" w:type="dxa"/>
            <w:right w:w="108" w:type="dxa"/>
          </w:tblCellMar>
        </w:tblPrEx>
        <w:trPr>
          <w:trHeight w:val="555" w:hRule="atLeast"/>
        </w:trPr>
        <w:tc>
          <w:tcPr>
            <w:tcW w:w="1020" w:type="dxa"/>
            <w:vMerge w:val="continue"/>
            <w:tcBorders>
              <w:top w:val="nil"/>
              <w:left w:val="single" w:color="auto" w:sz="4" w:space="0"/>
              <w:bottom w:val="single" w:color="auto" w:sz="4" w:space="0"/>
              <w:right w:val="single" w:color="auto" w:sz="4" w:space="0"/>
            </w:tcBorders>
            <w:vAlign w:val="center"/>
          </w:tcPr>
          <w:p w14:paraId="5AD47050">
            <w:pPr>
              <w:widowControl/>
              <w:jc w:val="center"/>
              <w:rPr>
                <w:rFonts w:hint="eastAsia"/>
                <w:sz w:val="24"/>
                <w:szCs w:val="24"/>
              </w:rPr>
            </w:pPr>
          </w:p>
        </w:tc>
        <w:tc>
          <w:tcPr>
            <w:tcW w:w="2236" w:type="dxa"/>
            <w:vMerge w:val="continue"/>
            <w:tcBorders>
              <w:top w:val="nil"/>
              <w:left w:val="single" w:color="auto" w:sz="4" w:space="0"/>
              <w:bottom w:val="single" w:color="auto" w:sz="4" w:space="0"/>
              <w:right w:val="single" w:color="auto" w:sz="4" w:space="0"/>
            </w:tcBorders>
            <w:vAlign w:val="center"/>
          </w:tcPr>
          <w:p w14:paraId="22E5816F">
            <w:pPr>
              <w:widowControl/>
              <w:rPr>
                <w:rFonts w:hint="eastAsia"/>
                <w:sz w:val="24"/>
                <w:szCs w:val="24"/>
              </w:rPr>
            </w:pPr>
          </w:p>
        </w:tc>
        <w:tc>
          <w:tcPr>
            <w:tcW w:w="6378" w:type="dxa"/>
            <w:tcBorders>
              <w:top w:val="nil"/>
              <w:left w:val="nil"/>
              <w:bottom w:val="single" w:color="auto" w:sz="4" w:space="0"/>
              <w:right w:val="single" w:color="auto" w:sz="4" w:space="0"/>
            </w:tcBorders>
            <w:shd w:val="clear" w:color="auto" w:fill="auto"/>
            <w:vAlign w:val="center"/>
          </w:tcPr>
          <w:p w14:paraId="59A34708">
            <w:pPr>
              <w:widowControl/>
              <w:rPr>
                <w:rFonts w:hint="eastAsia"/>
                <w:sz w:val="24"/>
                <w:szCs w:val="24"/>
              </w:rPr>
            </w:pPr>
            <w:r>
              <w:rPr>
                <w:rFonts w:hint="eastAsia"/>
                <w:sz w:val="24"/>
                <w:szCs w:val="24"/>
              </w:rPr>
              <w:t>在自助设备上对接健康码平台支持电子健康码建档</w:t>
            </w:r>
          </w:p>
        </w:tc>
      </w:tr>
      <w:tr w14:paraId="22F11988">
        <w:tblPrEx>
          <w:tblCellMar>
            <w:top w:w="0" w:type="dxa"/>
            <w:left w:w="108" w:type="dxa"/>
            <w:bottom w:w="0" w:type="dxa"/>
            <w:right w:w="108" w:type="dxa"/>
          </w:tblCellMar>
        </w:tblPrEx>
        <w:trPr>
          <w:trHeight w:val="278" w:hRule="atLeast"/>
        </w:trPr>
        <w:tc>
          <w:tcPr>
            <w:tcW w:w="1020" w:type="dxa"/>
            <w:vMerge w:val="continue"/>
            <w:tcBorders>
              <w:top w:val="nil"/>
              <w:left w:val="single" w:color="auto" w:sz="4" w:space="0"/>
              <w:bottom w:val="single" w:color="auto" w:sz="4" w:space="0"/>
              <w:right w:val="single" w:color="auto" w:sz="4" w:space="0"/>
            </w:tcBorders>
            <w:vAlign w:val="center"/>
          </w:tcPr>
          <w:p w14:paraId="69AF774F">
            <w:pPr>
              <w:widowControl/>
              <w:jc w:val="center"/>
              <w:rPr>
                <w:rFonts w:hint="eastAsia"/>
                <w:sz w:val="24"/>
                <w:szCs w:val="24"/>
              </w:rPr>
            </w:pPr>
          </w:p>
        </w:tc>
        <w:tc>
          <w:tcPr>
            <w:tcW w:w="2236" w:type="dxa"/>
            <w:vMerge w:val="continue"/>
            <w:tcBorders>
              <w:top w:val="nil"/>
              <w:left w:val="single" w:color="auto" w:sz="4" w:space="0"/>
              <w:bottom w:val="single" w:color="auto" w:sz="4" w:space="0"/>
              <w:right w:val="single" w:color="auto" w:sz="4" w:space="0"/>
            </w:tcBorders>
            <w:vAlign w:val="center"/>
          </w:tcPr>
          <w:p w14:paraId="0B80F85B">
            <w:pPr>
              <w:widowControl/>
              <w:rPr>
                <w:rFonts w:hint="eastAsia"/>
                <w:sz w:val="24"/>
                <w:szCs w:val="24"/>
              </w:rPr>
            </w:pPr>
          </w:p>
        </w:tc>
        <w:tc>
          <w:tcPr>
            <w:tcW w:w="6378" w:type="dxa"/>
            <w:tcBorders>
              <w:top w:val="nil"/>
              <w:left w:val="nil"/>
              <w:bottom w:val="single" w:color="auto" w:sz="4" w:space="0"/>
              <w:right w:val="single" w:color="auto" w:sz="4" w:space="0"/>
            </w:tcBorders>
            <w:shd w:val="clear" w:color="auto" w:fill="auto"/>
            <w:vAlign w:val="center"/>
          </w:tcPr>
          <w:p w14:paraId="6DC468B0">
            <w:pPr>
              <w:widowControl/>
              <w:rPr>
                <w:rFonts w:hint="eastAsia"/>
                <w:sz w:val="24"/>
                <w:szCs w:val="24"/>
              </w:rPr>
            </w:pPr>
            <w:r>
              <w:rPr>
                <w:rFonts w:hint="eastAsia"/>
                <w:sz w:val="24"/>
                <w:szCs w:val="24"/>
              </w:rPr>
              <w:t>在自助设备上支持医保电子凭证建档</w:t>
            </w:r>
          </w:p>
        </w:tc>
      </w:tr>
      <w:tr w14:paraId="18588336">
        <w:tblPrEx>
          <w:tblCellMar>
            <w:top w:w="0" w:type="dxa"/>
            <w:left w:w="108" w:type="dxa"/>
            <w:bottom w:w="0" w:type="dxa"/>
            <w:right w:w="108" w:type="dxa"/>
          </w:tblCellMar>
        </w:tblPrEx>
        <w:trPr>
          <w:trHeight w:val="555" w:hRule="atLeast"/>
        </w:trPr>
        <w:tc>
          <w:tcPr>
            <w:tcW w:w="1020" w:type="dxa"/>
            <w:vMerge w:val="restart"/>
            <w:tcBorders>
              <w:top w:val="nil"/>
              <w:left w:val="single" w:color="auto" w:sz="4" w:space="0"/>
              <w:bottom w:val="single" w:color="auto" w:sz="4" w:space="0"/>
              <w:right w:val="single" w:color="auto" w:sz="4" w:space="0"/>
            </w:tcBorders>
            <w:shd w:val="clear" w:color="auto" w:fill="auto"/>
            <w:noWrap/>
            <w:vAlign w:val="center"/>
          </w:tcPr>
          <w:p w14:paraId="166D37F9">
            <w:pPr>
              <w:widowControl/>
              <w:jc w:val="center"/>
              <w:rPr>
                <w:rFonts w:hint="eastAsia"/>
                <w:sz w:val="24"/>
                <w:szCs w:val="24"/>
              </w:rPr>
            </w:pPr>
            <w:r>
              <w:rPr>
                <w:rFonts w:hint="eastAsia"/>
                <w:sz w:val="24"/>
                <w:szCs w:val="24"/>
              </w:rPr>
              <w:t>2</w:t>
            </w:r>
          </w:p>
        </w:tc>
        <w:tc>
          <w:tcPr>
            <w:tcW w:w="2236" w:type="dxa"/>
            <w:vMerge w:val="restart"/>
            <w:tcBorders>
              <w:top w:val="nil"/>
              <w:left w:val="single" w:color="auto" w:sz="4" w:space="0"/>
              <w:bottom w:val="single" w:color="auto" w:sz="4" w:space="0"/>
              <w:right w:val="single" w:color="auto" w:sz="4" w:space="0"/>
            </w:tcBorders>
            <w:shd w:val="clear" w:color="auto" w:fill="auto"/>
            <w:noWrap/>
            <w:vAlign w:val="center"/>
          </w:tcPr>
          <w:p w14:paraId="7708FC75">
            <w:pPr>
              <w:widowControl/>
              <w:rPr>
                <w:rFonts w:hint="eastAsia"/>
                <w:sz w:val="24"/>
                <w:szCs w:val="24"/>
              </w:rPr>
            </w:pPr>
            <w:r>
              <w:rPr>
                <w:rFonts w:hint="eastAsia"/>
                <w:sz w:val="24"/>
                <w:szCs w:val="24"/>
              </w:rPr>
              <w:t>登录业务</w:t>
            </w:r>
          </w:p>
        </w:tc>
        <w:tc>
          <w:tcPr>
            <w:tcW w:w="6378" w:type="dxa"/>
            <w:tcBorders>
              <w:top w:val="nil"/>
              <w:left w:val="nil"/>
              <w:bottom w:val="single" w:color="auto" w:sz="4" w:space="0"/>
              <w:right w:val="single" w:color="auto" w:sz="4" w:space="0"/>
            </w:tcBorders>
            <w:shd w:val="clear" w:color="auto" w:fill="auto"/>
            <w:vAlign w:val="center"/>
          </w:tcPr>
          <w:p w14:paraId="2ECA0CC4">
            <w:pPr>
              <w:widowControl/>
              <w:rPr>
                <w:rFonts w:hint="eastAsia"/>
                <w:sz w:val="24"/>
                <w:szCs w:val="24"/>
              </w:rPr>
            </w:pPr>
            <w:r>
              <w:rPr>
                <w:rFonts w:hint="eastAsia"/>
                <w:sz w:val="24"/>
                <w:szCs w:val="24"/>
              </w:rPr>
              <w:t>在自助设备上支持门诊号登录获取患者信息（手输/扫描）</w:t>
            </w:r>
          </w:p>
        </w:tc>
      </w:tr>
      <w:tr w14:paraId="29F52FDC">
        <w:tblPrEx>
          <w:tblCellMar>
            <w:top w:w="0" w:type="dxa"/>
            <w:left w:w="108" w:type="dxa"/>
            <w:bottom w:w="0" w:type="dxa"/>
            <w:right w:w="108" w:type="dxa"/>
          </w:tblCellMar>
        </w:tblPrEx>
        <w:trPr>
          <w:trHeight w:val="555" w:hRule="atLeast"/>
        </w:trPr>
        <w:tc>
          <w:tcPr>
            <w:tcW w:w="1020" w:type="dxa"/>
            <w:vMerge w:val="continue"/>
            <w:tcBorders>
              <w:top w:val="nil"/>
              <w:left w:val="single" w:color="auto" w:sz="4" w:space="0"/>
              <w:bottom w:val="single" w:color="auto" w:sz="4" w:space="0"/>
              <w:right w:val="single" w:color="auto" w:sz="4" w:space="0"/>
            </w:tcBorders>
            <w:vAlign w:val="center"/>
          </w:tcPr>
          <w:p w14:paraId="16AE7773">
            <w:pPr>
              <w:widowControl/>
              <w:jc w:val="center"/>
              <w:rPr>
                <w:rFonts w:hint="eastAsia"/>
                <w:sz w:val="24"/>
                <w:szCs w:val="24"/>
              </w:rPr>
            </w:pPr>
          </w:p>
        </w:tc>
        <w:tc>
          <w:tcPr>
            <w:tcW w:w="2236" w:type="dxa"/>
            <w:vMerge w:val="continue"/>
            <w:tcBorders>
              <w:top w:val="nil"/>
              <w:left w:val="single" w:color="auto" w:sz="4" w:space="0"/>
              <w:bottom w:val="single" w:color="auto" w:sz="4" w:space="0"/>
              <w:right w:val="single" w:color="auto" w:sz="4" w:space="0"/>
            </w:tcBorders>
            <w:vAlign w:val="center"/>
          </w:tcPr>
          <w:p w14:paraId="3E293F88">
            <w:pPr>
              <w:widowControl/>
              <w:rPr>
                <w:rFonts w:hint="eastAsia"/>
                <w:sz w:val="24"/>
                <w:szCs w:val="24"/>
              </w:rPr>
            </w:pPr>
          </w:p>
        </w:tc>
        <w:tc>
          <w:tcPr>
            <w:tcW w:w="6378" w:type="dxa"/>
            <w:tcBorders>
              <w:top w:val="nil"/>
              <w:left w:val="nil"/>
              <w:bottom w:val="single" w:color="auto" w:sz="4" w:space="0"/>
              <w:right w:val="single" w:color="auto" w:sz="4" w:space="0"/>
            </w:tcBorders>
            <w:shd w:val="clear" w:color="auto" w:fill="auto"/>
            <w:vAlign w:val="center"/>
          </w:tcPr>
          <w:p w14:paraId="4F772C8E">
            <w:pPr>
              <w:widowControl/>
              <w:rPr>
                <w:rFonts w:hint="eastAsia"/>
                <w:sz w:val="24"/>
                <w:szCs w:val="24"/>
              </w:rPr>
            </w:pPr>
            <w:r>
              <w:rPr>
                <w:rFonts w:hint="eastAsia"/>
                <w:sz w:val="24"/>
                <w:szCs w:val="24"/>
              </w:rPr>
              <w:t>在自助设备上支持身份证登录获取患者信息（实体身份证/手输身份证号）</w:t>
            </w:r>
          </w:p>
        </w:tc>
      </w:tr>
      <w:tr w14:paraId="7AF72475">
        <w:tblPrEx>
          <w:tblCellMar>
            <w:top w:w="0" w:type="dxa"/>
            <w:left w:w="108" w:type="dxa"/>
            <w:bottom w:w="0" w:type="dxa"/>
            <w:right w:w="108" w:type="dxa"/>
          </w:tblCellMar>
        </w:tblPrEx>
        <w:trPr>
          <w:trHeight w:val="555" w:hRule="atLeast"/>
        </w:trPr>
        <w:tc>
          <w:tcPr>
            <w:tcW w:w="1020" w:type="dxa"/>
            <w:vMerge w:val="continue"/>
            <w:tcBorders>
              <w:top w:val="nil"/>
              <w:left w:val="single" w:color="auto" w:sz="4" w:space="0"/>
              <w:bottom w:val="single" w:color="auto" w:sz="4" w:space="0"/>
              <w:right w:val="single" w:color="auto" w:sz="4" w:space="0"/>
            </w:tcBorders>
            <w:vAlign w:val="center"/>
          </w:tcPr>
          <w:p w14:paraId="3E39D075">
            <w:pPr>
              <w:widowControl/>
              <w:jc w:val="center"/>
              <w:rPr>
                <w:rFonts w:hint="eastAsia"/>
                <w:sz w:val="24"/>
                <w:szCs w:val="24"/>
              </w:rPr>
            </w:pPr>
          </w:p>
        </w:tc>
        <w:tc>
          <w:tcPr>
            <w:tcW w:w="2236" w:type="dxa"/>
            <w:vMerge w:val="continue"/>
            <w:tcBorders>
              <w:top w:val="nil"/>
              <w:left w:val="single" w:color="auto" w:sz="4" w:space="0"/>
              <w:bottom w:val="single" w:color="auto" w:sz="4" w:space="0"/>
              <w:right w:val="single" w:color="auto" w:sz="4" w:space="0"/>
            </w:tcBorders>
            <w:vAlign w:val="center"/>
          </w:tcPr>
          <w:p w14:paraId="4AFEE18F">
            <w:pPr>
              <w:widowControl/>
              <w:rPr>
                <w:rFonts w:hint="eastAsia"/>
                <w:sz w:val="24"/>
                <w:szCs w:val="24"/>
              </w:rPr>
            </w:pPr>
          </w:p>
        </w:tc>
        <w:tc>
          <w:tcPr>
            <w:tcW w:w="6378" w:type="dxa"/>
            <w:tcBorders>
              <w:top w:val="nil"/>
              <w:left w:val="nil"/>
              <w:bottom w:val="single" w:color="auto" w:sz="4" w:space="0"/>
              <w:right w:val="single" w:color="auto" w:sz="4" w:space="0"/>
            </w:tcBorders>
            <w:shd w:val="clear" w:color="auto" w:fill="auto"/>
            <w:vAlign w:val="center"/>
          </w:tcPr>
          <w:p w14:paraId="2F20089C">
            <w:pPr>
              <w:widowControl/>
              <w:rPr>
                <w:rFonts w:hint="eastAsia"/>
                <w:sz w:val="24"/>
                <w:szCs w:val="24"/>
              </w:rPr>
            </w:pPr>
            <w:r>
              <w:rPr>
                <w:rFonts w:hint="eastAsia"/>
                <w:sz w:val="24"/>
                <w:szCs w:val="24"/>
              </w:rPr>
              <w:t>在自助设备上支持医保电子凭证登录获取患者信息</w:t>
            </w:r>
          </w:p>
        </w:tc>
      </w:tr>
      <w:tr w14:paraId="7932F01C">
        <w:tblPrEx>
          <w:tblCellMar>
            <w:top w:w="0" w:type="dxa"/>
            <w:left w:w="108" w:type="dxa"/>
            <w:bottom w:w="0" w:type="dxa"/>
            <w:right w:w="108" w:type="dxa"/>
          </w:tblCellMar>
        </w:tblPrEx>
        <w:trPr>
          <w:trHeight w:val="278" w:hRule="atLeast"/>
        </w:trPr>
        <w:tc>
          <w:tcPr>
            <w:tcW w:w="1020" w:type="dxa"/>
            <w:vMerge w:val="continue"/>
            <w:tcBorders>
              <w:top w:val="nil"/>
              <w:left w:val="single" w:color="auto" w:sz="4" w:space="0"/>
              <w:bottom w:val="single" w:color="auto" w:sz="4" w:space="0"/>
              <w:right w:val="single" w:color="auto" w:sz="4" w:space="0"/>
            </w:tcBorders>
            <w:vAlign w:val="center"/>
          </w:tcPr>
          <w:p w14:paraId="763E89E5">
            <w:pPr>
              <w:widowControl/>
              <w:jc w:val="center"/>
              <w:rPr>
                <w:rFonts w:hint="eastAsia"/>
                <w:sz w:val="24"/>
                <w:szCs w:val="24"/>
              </w:rPr>
            </w:pPr>
          </w:p>
        </w:tc>
        <w:tc>
          <w:tcPr>
            <w:tcW w:w="2236" w:type="dxa"/>
            <w:vMerge w:val="continue"/>
            <w:tcBorders>
              <w:top w:val="nil"/>
              <w:left w:val="single" w:color="auto" w:sz="4" w:space="0"/>
              <w:bottom w:val="single" w:color="auto" w:sz="4" w:space="0"/>
              <w:right w:val="single" w:color="auto" w:sz="4" w:space="0"/>
            </w:tcBorders>
            <w:vAlign w:val="center"/>
          </w:tcPr>
          <w:p w14:paraId="583D1DE3">
            <w:pPr>
              <w:widowControl/>
              <w:rPr>
                <w:rFonts w:hint="eastAsia"/>
                <w:sz w:val="24"/>
                <w:szCs w:val="24"/>
              </w:rPr>
            </w:pPr>
          </w:p>
        </w:tc>
        <w:tc>
          <w:tcPr>
            <w:tcW w:w="6378" w:type="dxa"/>
            <w:tcBorders>
              <w:top w:val="nil"/>
              <w:left w:val="nil"/>
              <w:bottom w:val="single" w:color="auto" w:sz="4" w:space="0"/>
              <w:right w:val="single" w:color="auto" w:sz="4" w:space="0"/>
            </w:tcBorders>
            <w:shd w:val="clear" w:color="auto" w:fill="auto"/>
            <w:vAlign w:val="center"/>
          </w:tcPr>
          <w:p w14:paraId="3BB06582">
            <w:pPr>
              <w:widowControl/>
              <w:rPr>
                <w:rFonts w:hint="eastAsia"/>
                <w:sz w:val="24"/>
                <w:szCs w:val="24"/>
              </w:rPr>
            </w:pPr>
            <w:r>
              <w:rPr>
                <w:rFonts w:hint="eastAsia"/>
                <w:sz w:val="24"/>
                <w:szCs w:val="24"/>
              </w:rPr>
              <w:t>在自助设备上支持电子健康码登录患者获取信息</w:t>
            </w:r>
          </w:p>
        </w:tc>
      </w:tr>
      <w:tr w14:paraId="553D045A">
        <w:tblPrEx>
          <w:tblCellMar>
            <w:top w:w="0" w:type="dxa"/>
            <w:left w:w="108" w:type="dxa"/>
            <w:bottom w:w="0" w:type="dxa"/>
            <w:right w:w="108" w:type="dxa"/>
          </w:tblCellMar>
        </w:tblPrEx>
        <w:trPr>
          <w:trHeight w:val="278" w:hRule="atLeast"/>
        </w:trPr>
        <w:tc>
          <w:tcPr>
            <w:tcW w:w="1020" w:type="dxa"/>
            <w:vMerge w:val="restart"/>
            <w:tcBorders>
              <w:top w:val="nil"/>
              <w:left w:val="single" w:color="auto" w:sz="4" w:space="0"/>
              <w:bottom w:val="single" w:color="auto" w:sz="4" w:space="0"/>
              <w:right w:val="single" w:color="auto" w:sz="4" w:space="0"/>
            </w:tcBorders>
            <w:shd w:val="clear" w:color="auto" w:fill="auto"/>
            <w:noWrap/>
            <w:vAlign w:val="center"/>
          </w:tcPr>
          <w:p w14:paraId="323251BE">
            <w:pPr>
              <w:widowControl/>
              <w:jc w:val="center"/>
              <w:rPr>
                <w:rFonts w:hint="eastAsia"/>
                <w:sz w:val="24"/>
                <w:szCs w:val="24"/>
              </w:rPr>
            </w:pPr>
            <w:r>
              <w:rPr>
                <w:rFonts w:hint="eastAsia"/>
                <w:sz w:val="24"/>
                <w:szCs w:val="24"/>
              </w:rPr>
              <w:t>3</w:t>
            </w:r>
          </w:p>
        </w:tc>
        <w:tc>
          <w:tcPr>
            <w:tcW w:w="2236" w:type="dxa"/>
            <w:vMerge w:val="restart"/>
            <w:tcBorders>
              <w:top w:val="nil"/>
              <w:left w:val="single" w:color="auto" w:sz="4" w:space="0"/>
              <w:bottom w:val="single" w:color="auto" w:sz="4" w:space="0"/>
              <w:right w:val="single" w:color="auto" w:sz="4" w:space="0"/>
            </w:tcBorders>
            <w:shd w:val="clear" w:color="auto" w:fill="auto"/>
            <w:noWrap/>
            <w:vAlign w:val="center"/>
          </w:tcPr>
          <w:p w14:paraId="4F76AB55">
            <w:pPr>
              <w:widowControl/>
              <w:rPr>
                <w:rFonts w:hint="eastAsia"/>
                <w:sz w:val="24"/>
                <w:szCs w:val="24"/>
              </w:rPr>
            </w:pPr>
            <w:r>
              <w:rPr>
                <w:rFonts w:hint="eastAsia"/>
                <w:sz w:val="24"/>
                <w:szCs w:val="24"/>
              </w:rPr>
              <w:t>挂号业务</w:t>
            </w:r>
          </w:p>
        </w:tc>
        <w:tc>
          <w:tcPr>
            <w:tcW w:w="6378" w:type="dxa"/>
            <w:tcBorders>
              <w:top w:val="nil"/>
              <w:left w:val="nil"/>
              <w:bottom w:val="single" w:color="auto" w:sz="4" w:space="0"/>
              <w:right w:val="single" w:color="auto" w:sz="4" w:space="0"/>
            </w:tcBorders>
            <w:shd w:val="clear" w:color="auto" w:fill="auto"/>
            <w:vAlign w:val="center"/>
          </w:tcPr>
          <w:p w14:paraId="1697B665">
            <w:pPr>
              <w:widowControl/>
              <w:rPr>
                <w:rFonts w:hint="eastAsia"/>
                <w:sz w:val="24"/>
                <w:szCs w:val="24"/>
              </w:rPr>
            </w:pPr>
            <w:r>
              <w:rPr>
                <w:rFonts w:hint="eastAsia"/>
                <w:sz w:val="24"/>
                <w:szCs w:val="24"/>
              </w:rPr>
              <w:t>在自助设备上支持患者当天挂号业务</w:t>
            </w:r>
          </w:p>
        </w:tc>
      </w:tr>
      <w:tr w14:paraId="77EAAA81">
        <w:tblPrEx>
          <w:tblCellMar>
            <w:top w:w="0" w:type="dxa"/>
            <w:left w:w="108" w:type="dxa"/>
            <w:bottom w:w="0" w:type="dxa"/>
            <w:right w:w="108" w:type="dxa"/>
          </w:tblCellMar>
        </w:tblPrEx>
        <w:trPr>
          <w:trHeight w:val="555" w:hRule="atLeast"/>
        </w:trPr>
        <w:tc>
          <w:tcPr>
            <w:tcW w:w="1020" w:type="dxa"/>
            <w:vMerge w:val="continue"/>
            <w:tcBorders>
              <w:top w:val="nil"/>
              <w:left w:val="single" w:color="auto" w:sz="4" w:space="0"/>
              <w:bottom w:val="single" w:color="auto" w:sz="4" w:space="0"/>
              <w:right w:val="single" w:color="auto" w:sz="4" w:space="0"/>
            </w:tcBorders>
            <w:vAlign w:val="center"/>
          </w:tcPr>
          <w:p w14:paraId="20DCCB5C">
            <w:pPr>
              <w:widowControl/>
              <w:jc w:val="center"/>
              <w:rPr>
                <w:rFonts w:hint="eastAsia"/>
                <w:sz w:val="24"/>
                <w:szCs w:val="24"/>
              </w:rPr>
            </w:pPr>
          </w:p>
        </w:tc>
        <w:tc>
          <w:tcPr>
            <w:tcW w:w="2236" w:type="dxa"/>
            <w:vMerge w:val="continue"/>
            <w:tcBorders>
              <w:top w:val="nil"/>
              <w:left w:val="single" w:color="auto" w:sz="4" w:space="0"/>
              <w:bottom w:val="single" w:color="auto" w:sz="4" w:space="0"/>
              <w:right w:val="single" w:color="auto" w:sz="4" w:space="0"/>
            </w:tcBorders>
            <w:vAlign w:val="center"/>
          </w:tcPr>
          <w:p w14:paraId="51725A05">
            <w:pPr>
              <w:widowControl/>
              <w:rPr>
                <w:rFonts w:hint="eastAsia"/>
                <w:sz w:val="24"/>
                <w:szCs w:val="24"/>
              </w:rPr>
            </w:pPr>
          </w:p>
        </w:tc>
        <w:tc>
          <w:tcPr>
            <w:tcW w:w="6378" w:type="dxa"/>
            <w:tcBorders>
              <w:top w:val="nil"/>
              <w:left w:val="nil"/>
              <w:bottom w:val="single" w:color="auto" w:sz="4" w:space="0"/>
              <w:right w:val="single" w:color="auto" w:sz="4" w:space="0"/>
            </w:tcBorders>
            <w:shd w:val="clear" w:color="auto" w:fill="auto"/>
            <w:vAlign w:val="center"/>
          </w:tcPr>
          <w:p w14:paraId="2AF4443D">
            <w:pPr>
              <w:widowControl/>
              <w:rPr>
                <w:rFonts w:hint="eastAsia"/>
                <w:sz w:val="24"/>
                <w:szCs w:val="24"/>
              </w:rPr>
            </w:pPr>
            <w:r>
              <w:rPr>
                <w:rFonts w:hint="eastAsia"/>
                <w:sz w:val="24"/>
                <w:szCs w:val="24"/>
              </w:rPr>
              <w:t>在自助设备上支持患者预约挂号业务（默认预约7天，根据院内需求制定）</w:t>
            </w:r>
          </w:p>
        </w:tc>
      </w:tr>
      <w:tr w14:paraId="7A465F1E">
        <w:tblPrEx>
          <w:tblCellMar>
            <w:top w:w="0" w:type="dxa"/>
            <w:left w:w="108" w:type="dxa"/>
            <w:bottom w:w="0" w:type="dxa"/>
            <w:right w:w="108" w:type="dxa"/>
          </w:tblCellMar>
        </w:tblPrEx>
        <w:trPr>
          <w:trHeight w:val="278" w:hRule="atLeast"/>
        </w:trPr>
        <w:tc>
          <w:tcPr>
            <w:tcW w:w="1020" w:type="dxa"/>
            <w:vMerge w:val="continue"/>
            <w:tcBorders>
              <w:top w:val="nil"/>
              <w:left w:val="single" w:color="auto" w:sz="4" w:space="0"/>
              <w:bottom w:val="single" w:color="auto" w:sz="4" w:space="0"/>
              <w:right w:val="single" w:color="auto" w:sz="4" w:space="0"/>
            </w:tcBorders>
            <w:vAlign w:val="center"/>
          </w:tcPr>
          <w:p w14:paraId="009C089C">
            <w:pPr>
              <w:widowControl/>
              <w:jc w:val="center"/>
              <w:rPr>
                <w:rFonts w:hint="eastAsia"/>
                <w:sz w:val="24"/>
                <w:szCs w:val="24"/>
              </w:rPr>
            </w:pPr>
          </w:p>
        </w:tc>
        <w:tc>
          <w:tcPr>
            <w:tcW w:w="2236" w:type="dxa"/>
            <w:vMerge w:val="continue"/>
            <w:tcBorders>
              <w:top w:val="nil"/>
              <w:left w:val="single" w:color="auto" w:sz="4" w:space="0"/>
              <w:bottom w:val="single" w:color="auto" w:sz="4" w:space="0"/>
              <w:right w:val="single" w:color="auto" w:sz="4" w:space="0"/>
            </w:tcBorders>
            <w:vAlign w:val="center"/>
          </w:tcPr>
          <w:p w14:paraId="7D02F1F4">
            <w:pPr>
              <w:widowControl/>
              <w:rPr>
                <w:rFonts w:hint="eastAsia"/>
                <w:sz w:val="24"/>
                <w:szCs w:val="24"/>
              </w:rPr>
            </w:pPr>
          </w:p>
        </w:tc>
        <w:tc>
          <w:tcPr>
            <w:tcW w:w="6378" w:type="dxa"/>
            <w:tcBorders>
              <w:top w:val="nil"/>
              <w:left w:val="nil"/>
              <w:bottom w:val="single" w:color="auto" w:sz="4" w:space="0"/>
              <w:right w:val="single" w:color="auto" w:sz="4" w:space="0"/>
            </w:tcBorders>
            <w:shd w:val="clear" w:color="auto" w:fill="auto"/>
            <w:vAlign w:val="center"/>
          </w:tcPr>
          <w:p w14:paraId="75092110">
            <w:pPr>
              <w:widowControl/>
              <w:rPr>
                <w:rFonts w:hint="eastAsia"/>
                <w:sz w:val="24"/>
                <w:szCs w:val="24"/>
              </w:rPr>
            </w:pPr>
            <w:r>
              <w:rPr>
                <w:rFonts w:hint="eastAsia"/>
                <w:sz w:val="24"/>
                <w:szCs w:val="24"/>
              </w:rPr>
              <w:t>在自助设备上支持患者挂号记录查询功能</w:t>
            </w:r>
          </w:p>
        </w:tc>
      </w:tr>
      <w:tr w14:paraId="210B9BBE">
        <w:tblPrEx>
          <w:tblCellMar>
            <w:top w:w="0" w:type="dxa"/>
            <w:left w:w="108" w:type="dxa"/>
            <w:bottom w:w="0" w:type="dxa"/>
            <w:right w:w="108" w:type="dxa"/>
          </w:tblCellMar>
        </w:tblPrEx>
        <w:trPr>
          <w:trHeight w:val="278"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78BBE8EC">
            <w:pPr>
              <w:widowControl/>
              <w:jc w:val="center"/>
              <w:rPr>
                <w:rFonts w:hint="eastAsia"/>
                <w:sz w:val="24"/>
                <w:szCs w:val="24"/>
              </w:rPr>
            </w:pPr>
            <w:r>
              <w:rPr>
                <w:rFonts w:hint="eastAsia"/>
                <w:sz w:val="24"/>
                <w:szCs w:val="24"/>
              </w:rPr>
              <w:t>4</w:t>
            </w:r>
          </w:p>
        </w:tc>
        <w:tc>
          <w:tcPr>
            <w:tcW w:w="2236" w:type="dxa"/>
            <w:tcBorders>
              <w:top w:val="nil"/>
              <w:left w:val="nil"/>
              <w:bottom w:val="single" w:color="auto" w:sz="4" w:space="0"/>
              <w:right w:val="single" w:color="auto" w:sz="4" w:space="0"/>
            </w:tcBorders>
            <w:shd w:val="clear" w:color="auto" w:fill="auto"/>
            <w:noWrap/>
            <w:vAlign w:val="center"/>
          </w:tcPr>
          <w:p w14:paraId="5BE39CA5">
            <w:pPr>
              <w:widowControl/>
              <w:rPr>
                <w:rFonts w:hint="eastAsia"/>
                <w:sz w:val="24"/>
                <w:szCs w:val="24"/>
              </w:rPr>
            </w:pPr>
            <w:r>
              <w:rPr>
                <w:rFonts w:hint="eastAsia"/>
                <w:sz w:val="24"/>
                <w:szCs w:val="24"/>
              </w:rPr>
              <w:t>门诊缴费业务</w:t>
            </w:r>
          </w:p>
        </w:tc>
        <w:tc>
          <w:tcPr>
            <w:tcW w:w="6378" w:type="dxa"/>
            <w:tcBorders>
              <w:top w:val="nil"/>
              <w:left w:val="nil"/>
              <w:bottom w:val="single" w:color="auto" w:sz="4" w:space="0"/>
              <w:right w:val="single" w:color="auto" w:sz="4" w:space="0"/>
            </w:tcBorders>
            <w:shd w:val="clear" w:color="auto" w:fill="auto"/>
            <w:vAlign w:val="center"/>
          </w:tcPr>
          <w:p w14:paraId="45FD49F8">
            <w:pPr>
              <w:widowControl/>
              <w:rPr>
                <w:rFonts w:hint="eastAsia"/>
                <w:sz w:val="24"/>
                <w:szCs w:val="24"/>
              </w:rPr>
            </w:pPr>
            <w:r>
              <w:rPr>
                <w:rFonts w:hint="eastAsia"/>
                <w:sz w:val="24"/>
                <w:szCs w:val="24"/>
              </w:rPr>
              <w:t>在自助设备上支持自费/医保患者的自助缴费功能</w:t>
            </w:r>
          </w:p>
        </w:tc>
      </w:tr>
      <w:tr w14:paraId="3BEA6C70">
        <w:tblPrEx>
          <w:tblCellMar>
            <w:top w:w="0" w:type="dxa"/>
            <w:left w:w="108" w:type="dxa"/>
            <w:bottom w:w="0" w:type="dxa"/>
            <w:right w:w="108" w:type="dxa"/>
          </w:tblCellMar>
        </w:tblPrEx>
        <w:trPr>
          <w:trHeight w:val="555"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55628A09">
            <w:pPr>
              <w:widowControl/>
              <w:jc w:val="center"/>
              <w:rPr>
                <w:rFonts w:hint="eastAsia"/>
                <w:sz w:val="24"/>
                <w:szCs w:val="24"/>
              </w:rPr>
            </w:pPr>
            <w:r>
              <w:rPr>
                <w:rFonts w:hint="eastAsia"/>
                <w:sz w:val="24"/>
                <w:szCs w:val="24"/>
              </w:rPr>
              <w:t>5</w:t>
            </w:r>
          </w:p>
        </w:tc>
        <w:tc>
          <w:tcPr>
            <w:tcW w:w="2236" w:type="dxa"/>
            <w:tcBorders>
              <w:top w:val="nil"/>
              <w:left w:val="nil"/>
              <w:bottom w:val="single" w:color="auto" w:sz="4" w:space="0"/>
              <w:right w:val="single" w:color="auto" w:sz="4" w:space="0"/>
            </w:tcBorders>
            <w:shd w:val="clear" w:color="auto" w:fill="auto"/>
            <w:noWrap/>
            <w:vAlign w:val="center"/>
          </w:tcPr>
          <w:p w14:paraId="40565615">
            <w:pPr>
              <w:widowControl/>
              <w:rPr>
                <w:rFonts w:hint="eastAsia"/>
                <w:sz w:val="24"/>
                <w:szCs w:val="24"/>
              </w:rPr>
            </w:pPr>
            <w:r>
              <w:rPr>
                <w:rFonts w:hint="eastAsia"/>
                <w:sz w:val="24"/>
                <w:szCs w:val="24"/>
              </w:rPr>
              <w:t>医保业务</w:t>
            </w:r>
          </w:p>
        </w:tc>
        <w:tc>
          <w:tcPr>
            <w:tcW w:w="6378" w:type="dxa"/>
            <w:tcBorders>
              <w:top w:val="nil"/>
              <w:left w:val="nil"/>
              <w:bottom w:val="single" w:color="auto" w:sz="4" w:space="0"/>
              <w:right w:val="single" w:color="auto" w:sz="4" w:space="0"/>
            </w:tcBorders>
            <w:shd w:val="clear" w:color="auto" w:fill="auto"/>
            <w:vAlign w:val="center"/>
          </w:tcPr>
          <w:p w14:paraId="4B31432A">
            <w:pPr>
              <w:widowControl/>
              <w:rPr>
                <w:rFonts w:hint="eastAsia"/>
                <w:sz w:val="24"/>
                <w:szCs w:val="24"/>
              </w:rPr>
            </w:pPr>
            <w:r>
              <w:rPr>
                <w:rFonts w:hint="eastAsia"/>
                <w:sz w:val="24"/>
                <w:szCs w:val="24"/>
              </w:rPr>
              <w:t>在自助设备上对接院内HIS接口，支持医保患者个账/统筹预结算后的自助结算业务</w:t>
            </w:r>
          </w:p>
        </w:tc>
      </w:tr>
      <w:tr w14:paraId="6101D9FC">
        <w:tblPrEx>
          <w:tblCellMar>
            <w:top w:w="0" w:type="dxa"/>
            <w:left w:w="108" w:type="dxa"/>
            <w:bottom w:w="0" w:type="dxa"/>
            <w:right w:w="108" w:type="dxa"/>
          </w:tblCellMar>
        </w:tblPrEx>
        <w:trPr>
          <w:trHeight w:val="278"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2B4ED7C9">
            <w:pPr>
              <w:widowControl/>
              <w:jc w:val="center"/>
              <w:rPr>
                <w:rFonts w:hint="eastAsia"/>
                <w:sz w:val="24"/>
                <w:szCs w:val="24"/>
              </w:rPr>
            </w:pPr>
            <w:r>
              <w:rPr>
                <w:rFonts w:hint="eastAsia"/>
                <w:sz w:val="24"/>
                <w:szCs w:val="24"/>
              </w:rPr>
              <w:t>6</w:t>
            </w:r>
          </w:p>
        </w:tc>
        <w:tc>
          <w:tcPr>
            <w:tcW w:w="2236" w:type="dxa"/>
            <w:tcBorders>
              <w:top w:val="nil"/>
              <w:left w:val="nil"/>
              <w:bottom w:val="single" w:color="auto" w:sz="4" w:space="0"/>
              <w:right w:val="single" w:color="auto" w:sz="4" w:space="0"/>
            </w:tcBorders>
            <w:shd w:val="clear" w:color="auto" w:fill="auto"/>
            <w:noWrap/>
            <w:vAlign w:val="center"/>
          </w:tcPr>
          <w:p w14:paraId="0AB8FE5C">
            <w:pPr>
              <w:widowControl/>
              <w:rPr>
                <w:rFonts w:hint="eastAsia"/>
                <w:sz w:val="24"/>
                <w:szCs w:val="24"/>
              </w:rPr>
            </w:pPr>
            <w:r>
              <w:rPr>
                <w:rFonts w:hint="eastAsia"/>
                <w:sz w:val="24"/>
                <w:szCs w:val="24"/>
              </w:rPr>
              <w:t>门诊清单查询打印</w:t>
            </w:r>
          </w:p>
        </w:tc>
        <w:tc>
          <w:tcPr>
            <w:tcW w:w="6378" w:type="dxa"/>
            <w:tcBorders>
              <w:top w:val="nil"/>
              <w:left w:val="nil"/>
              <w:bottom w:val="single" w:color="auto" w:sz="4" w:space="0"/>
              <w:right w:val="single" w:color="auto" w:sz="4" w:space="0"/>
            </w:tcBorders>
            <w:shd w:val="clear" w:color="auto" w:fill="auto"/>
            <w:vAlign w:val="center"/>
          </w:tcPr>
          <w:p w14:paraId="7602B5B5">
            <w:pPr>
              <w:widowControl/>
              <w:rPr>
                <w:rFonts w:hint="eastAsia"/>
                <w:sz w:val="24"/>
                <w:szCs w:val="24"/>
              </w:rPr>
            </w:pPr>
            <w:r>
              <w:rPr>
                <w:rFonts w:hint="eastAsia"/>
                <w:sz w:val="24"/>
                <w:szCs w:val="24"/>
              </w:rPr>
              <w:t>在自助设备上支持患者门诊清单查询打印功能</w:t>
            </w:r>
          </w:p>
        </w:tc>
      </w:tr>
      <w:tr w14:paraId="43A9ECE2">
        <w:tblPrEx>
          <w:tblCellMar>
            <w:top w:w="0" w:type="dxa"/>
            <w:left w:w="108" w:type="dxa"/>
            <w:bottom w:w="0" w:type="dxa"/>
            <w:right w:w="108" w:type="dxa"/>
          </w:tblCellMar>
        </w:tblPrEx>
        <w:trPr>
          <w:trHeight w:val="278"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1F1494DB">
            <w:pPr>
              <w:widowControl/>
              <w:jc w:val="center"/>
              <w:rPr>
                <w:rFonts w:hint="eastAsia"/>
                <w:sz w:val="24"/>
                <w:szCs w:val="24"/>
              </w:rPr>
            </w:pPr>
            <w:r>
              <w:rPr>
                <w:rFonts w:hint="eastAsia"/>
                <w:sz w:val="24"/>
                <w:szCs w:val="24"/>
              </w:rPr>
              <w:t>7</w:t>
            </w:r>
          </w:p>
        </w:tc>
        <w:tc>
          <w:tcPr>
            <w:tcW w:w="2236" w:type="dxa"/>
            <w:tcBorders>
              <w:top w:val="nil"/>
              <w:left w:val="nil"/>
              <w:bottom w:val="single" w:color="auto" w:sz="4" w:space="0"/>
              <w:right w:val="single" w:color="auto" w:sz="4" w:space="0"/>
            </w:tcBorders>
            <w:shd w:val="clear" w:color="auto" w:fill="auto"/>
            <w:noWrap/>
            <w:vAlign w:val="center"/>
          </w:tcPr>
          <w:p w14:paraId="739F5625">
            <w:pPr>
              <w:widowControl/>
              <w:rPr>
                <w:rFonts w:hint="eastAsia"/>
                <w:sz w:val="24"/>
                <w:szCs w:val="24"/>
              </w:rPr>
            </w:pPr>
            <w:r>
              <w:rPr>
                <w:rFonts w:hint="eastAsia"/>
                <w:sz w:val="24"/>
                <w:szCs w:val="24"/>
              </w:rPr>
              <w:t>电子发票打印</w:t>
            </w:r>
          </w:p>
        </w:tc>
        <w:tc>
          <w:tcPr>
            <w:tcW w:w="6378" w:type="dxa"/>
            <w:tcBorders>
              <w:top w:val="nil"/>
              <w:left w:val="nil"/>
              <w:bottom w:val="single" w:color="auto" w:sz="4" w:space="0"/>
              <w:right w:val="single" w:color="auto" w:sz="4" w:space="0"/>
            </w:tcBorders>
            <w:shd w:val="clear" w:color="auto" w:fill="auto"/>
            <w:vAlign w:val="center"/>
          </w:tcPr>
          <w:p w14:paraId="42B8B94F">
            <w:pPr>
              <w:widowControl/>
              <w:rPr>
                <w:rFonts w:hint="eastAsia"/>
                <w:sz w:val="24"/>
                <w:szCs w:val="24"/>
              </w:rPr>
            </w:pPr>
            <w:r>
              <w:rPr>
                <w:rFonts w:hint="eastAsia"/>
                <w:sz w:val="24"/>
                <w:szCs w:val="24"/>
              </w:rPr>
              <w:t>在自助设备上支持患者电子发票打印功能</w:t>
            </w:r>
          </w:p>
        </w:tc>
      </w:tr>
      <w:tr w14:paraId="2935AC86">
        <w:tblPrEx>
          <w:tblCellMar>
            <w:top w:w="0" w:type="dxa"/>
            <w:left w:w="108" w:type="dxa"/>
            <w:bottom w:w="0" w:type="dxa"/>
            <w:right w:w="108" w:type="dxa"/>
          </w:tblCellMar>
        </w:tblPrEx>
        <w:trPr>
          <w:trHeight w:val="278"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68F16421">
            <w:pPr>
              <w:widowControl/>
              <w:jc w:val="center"/>
              <w:rPr>
                <w:rFonts w:hint="eastAsia"/>
                <w:sz w:val="24"/>
                <w:szCs w:val="24"/>
              </w:rPr>
            </w:pPr>
            <w:r>
              <w:rPr>
                <w:rFonts w:hint="eastAsia"/>
                <w:sz w:val="24"/>
                <w:szCs w:val="24"/>
              </w:rPr>
              <w:t>8</w:t>
            </w:r>
          </w:p>
        </w:tc>
        <w:tc>
          <w:tcPr>
            <w:tcW w:w="2236" w:type="dxa"/>
            <w:tcBorders>
              <w:top w:val="nil"/>
              <w:left w:val="nil"/>
              <w:bottom w:val="single" w:color="auto" w:sz="4" w:space="0"/>
              <w:right w:val="single" w:color="auto" w:sz="4" w:space="0"/>
            </w:tcBorders>
            <w:shd w:val="clear" w:color="auto" w:fill="auto"/>
            <w:noWrap/>
            <w:vAlign w:val="center"/>
          </w:tcPr>
          <w:p w14:paraId="0F9B3183">
            <w:pPr>
              <w:widowControl/>
              <w:rPr>
                <w:rFonts w:hint="eastAsia"/>
                <w:sz w:val="24"/>
                <w:szCs w:val="24"/>
              </w:rPr>
            </w:pPr>
            <w:r>
              <w:rPr>
                <w:rFonts w:hint="eastAsia"/>
                <w:sz w:val="24"/>
                <w:szCs w:val="24"/>
              </w:rPr>
              <w:t>门诊病历打印</w:t>
            </w:r>
          </w:p>
        </w:tc>
        <w:tc>
          <w:tcPr>
            <w:tcW w:w="6378" w:type="dxa"/>
            <w:tcBorders>
              <w:top w:val="nil"/>
              <w:left w:val="nil"/>
              <w:bottom w:val="single" w:color="auto" w:sz="4" w:space="0"/>
              <w:right w:val="single" w:color="auto" w:sz="4" w:space="0"/>
            </w:tcBorders>
            <w:shd w:val="clear" w:color="auto" w:fill="auto"/>
            <w:vAlign w:val="center"/>
          </w:tcPr>
          <w:p w14:paraId="4FC73B2A">
            <w:pPr>
              <w:widowControl/>
              <w:rPr>
                <w:rFonts w:hint="eastAsia"/>
                <w:sz w:val="24"/>
                <w:szCs w:val="24"/>
              </w:rPr>
            </w:pPr>
            <w:r>
              <w:rPr>
                <w:rFonts w:hint="eastAsia"/>
                <w:sz w:val="24"/>
                <w:szCs w:val="24"/>
              </w:rPr>
              <w:t>在自助设备上支持患者门诊电子病历打印功能</w:t>
            </w:r>
          </w:p>
        </w:tc>
      </w:tr>
      <w:tr w14:paraId="2C1A8867">
        <w:tblPrEx>
          <w:tblCellMar>
            <w:top w:w="0" w:type="dxa"/>
            <w:left w:w="108" w:type="dxa"/>
            <w:bottom w:w="0" w:type="dxa"/>
            <w:right w:w="108" w:type="dxa"/>
          </w:tblCellMar>
        </w:tblPrEx>
        <w:trPr>
          <w:trHeight w:val="278"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0B286A99">
            <w:pPr>
              <w:widowControl/>
              <w:jc w:val="center"/>
              <w:rPr>
                <w:rFonts w:hint="eastAsia"/>
                <w:sz w:val="24"/>
                <w:szCs w:val="24"/>
              </w:rPr>
            </w:pPr>
            <w:r>
              <w:rPr>
                <w:rFonts w:hint="eastAsia"/>
                <w:sz w:val="24"/>
                <w:szCs w:val="24"/>
              </w:rPr>
              <w:t>9</w:t>
            </w:r>
          </w:p>
        </w:tc>
        <w:tc>
          <w:tcPr>
            <w:tcW w:w="2236" w:type="dxa"/>
            <w:tcBorders>
              <w:top w:val="nil"/>
              <w:left w:val="nil"/>
              <w:bottom w:val="single" w:color="auto" w:sz="4" w:space="0"/>
              <w:right w:val="single" w:color="auto" w:sz="4" w:space="0"/>
            </w:tcBorders>
            <w:shd w:val="clear" w:color="auto" w:fill="auto"/>
            <w:noWrap/>
            <w:vAlign w:val="center"/>
          </w:tcPr>
          <w:p w14:paraId="288E21DC">
            <w:pPr>
              <w:widowControl/>
              <w:rPr>
                <w:rFonts w:hint="eastAsia"/>
                <w:sz w:val="24"/>
                <w:szCs w:val="24"/>
              </w:rPr>
            </w:pPr>
            <w:r>
              <w:rPr>
                <w:rFonts w:hint="eastAsia"/>
                <w:sz w:val="24"/>
                <w:szCs w:val="24"/>
              </w:rPr>
              <w:t>门诊处方打印</w:t>
            </w:r>
          </w:p>
        </w:tc>
        <w:tc>
          <w:tcPr>
            <w:tcW w:w="6378" w:type="dxa"/>
            <w:tcBorders>
              <w:top w:val="nil"/>
              <w:left w:val="nil"/>
              <w:bottom w:val="single" w:color="auto" w:sz="4" w:space="0"/>
              <w:right w:val="single" w:color="auto" w:sz="4" w:space="0"/>
            </w:tcBorders>
            <w:shd w:val="clear" w:color="auto" w:fill="auto"/>
            <w:vAlign w:val="center"/>
          </w:tcPr>
          <w:p w14:paraId="6FB5CA30">
            <w:pPr>
              <w:widowControl/>
              <w:rPr>
                <w:rFonts w:hint="eastAsia"/>
                <w:sz w:val="24"/>
                <w:szCs w:val="24"/>
              </w:rPr>
            </w:pPr>
            <w:r>
              <w:rPr>
                <w:rFonts w:hint="eastAsia"/>
                <w:sz w:val="24"/>
                <w:szCs w:val="24"/>
              </w:rPr>
              <w:t>在自助设备上支持患者门诊处方打印功能</w:t>
            </w:r>
          </w:p>
        </w:tc>
      </w:tr>
      <w:tr w14:paraId="1AFBF272">
        <w:tblPrEx>
          <w:tblCellMar>
            <w:top w:w="0" w:type="dxa"/>
            <w:left w:w="108" w:type="dxa"/>
            <w:bottom w:w="0" w:type="dxa"/>
            <w:right w:w="108" w:type="dxa"/>
          </w:tblCellMar>
        </w:tblPrEx>
        <w:trPr>
          <w:trHeight w:val="278"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10EF9FBA">
            <w:pPr>
              <w:widowControl/>
              <w:jc w:val="center"/>
              <w:rPr>
                <w:rFonts w:hint="eastAsia"/>
                <w:sz w:val="24"/>
                <w:szCs w:val="24"/>
              </w:rPr>
            </w:pPr>
            <w:r>
              <w:rPr>
                <w:rFonts w:hint="eastAsia"/>
                <w:sz w:val="24"/>
                <w:szCs w:val="24"/>
              </w:rPr>
              <w:t>10</w:t>
            </w:r>
          </w:p>
        </w:tc>
        <w:tc>
          <w:tcPr>
            <w:tcW w:w="2236" w:type="dxa"/>
            <w:tcBorders>
              <w:top w:val="nil"/>
              <w:left w:val="nil"/>
              <w:bottom w:val="single" w:color="auto" w:sz="4" w:space="0"/>
              <w:right w:val="single" w:color="auto" w:sz="4" w:space="0"/>
            </w:tcBorders>
            <w:shd w:val="clear" w:color="auto" w:fill="auto"/>
            <w:noWrap/>
            <w:vAlign w:val="center"/>
          </w:tcPr>
          <w:p w14:paraId="53CF60E9">
            <w:pPr>
              <w:widowControl/>
              <w:rPr>
                <w:rFonts w:hint="eastAsia"/>
                <w:sz w:val="24"/>
                <w:szCs w:val="24"/>
              </w:rPr>
            </w:pPr>
            <w:r>
              <w:rPr>
                <w:rFonts w:hint="eastAsia"/>
                <w:sz w:val="24"/>
                <w:szCs w:val="24"/>
              </w:rPr>
              <w:t>检查报告单打印</w:t>
            </w:r>
          </w:p>
        </w:tc>
        <w:tc>
          <w:tcPr>
            <w:tcW w:w="6378" w:type="dxa"/>
            <w:tcBorders>
              <w:top w:val="nil"/>
              <w:left w:val="nil"/>
              <w:bottom w:val="single" w:color="auto" w:sz="4" w:space="0"/>
              <w:right w:val="single" w:color="auto" w:sz="4" w:space="0"/>
            </w:tcBorders>
            <w:shd w:val="clear" w:color="auto" w:fill="auto"/>
            <w:vAlign w:val="center"/>
          </w:tcPr>
          <w:p w14:paraId="55C5A947">
            <w:pPr>
              <w:widowControl/>
              <w:rPr>
                <w:rFonts w:hint="eastAsia"/>
                <w:sz w:val="24"/>
                <w:szCs w:val="24"/>
              </w:rPr>
            </w:pPr>
            <w:r>
              <w:rPr>
                <w:rFonts w:hint="eastAsia"/>
                <w:sz w:val="24"/>
                <w:szCs w:val="24"/>
              </w:rPr>
              <w:t>在自助设备上支持患者自助打印检查报告单</w:t>
            </w:r>
          </w:p>
        </w:tc>
      </w:tr>
      <w:tr w14:paraId="4BF905D0">
        <w:tblPrEx>
          <w:tblCellMar>
            <w:top w:w="0" w:type="dxa"/>
            <w:left w:w="108" w:type="dxa"/>
            <w:bottom w:w="0" w:type="dxa"/>
            <w:right w:w="108" w:type="dxa"/>
          </w:tblCellMar>
        </w:tblPrEx>
        <w:trPr>
          <w:trHeight w:val="278"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4E90B73C">
            <w:pPr>
              <w:widowControl/>
              <w:jc w:val="center"/>
              <w:rPr>
                <w:rFonts w:hint="eastAsia"/>
                <w:sz w:val="24"/>
                <w:szCs w:val="24"/>
              </w:rPr>
            </w:pPr>
            <w:r>
              <w:rPr>
                <w:rFonts w:hint="eastAsia"/>
                <w:sz w:val="24"/>
                <w:szCs w:val="24"/>
              </w:rPr>
              <w:t>11</w:t>
            </w:r>
          </w:p>
        </w:tc>
        <w:tc>
          <w:tcPr>
            <w:tcW w:w="2236" w:type="dxa"/>
            <w:tcBorders>
              <w:top w:val="nil"/>
              <w:left w:val="nil"/>
              <w:bottom w:val="single" w:color="auto" w:sz="4" w:space="0"/>
              <w:right w:val="single" w:color="auto" w:sz="4" w:space="0"/>
            </w:tcBorders>
            <w:shd w:val="clear" w:color="auto" w:fill="auto"/>
            <w:noWrap/>
            <w:vAlign w:val="center"/>
          </w:tcPr>
          <w:p w14:paraId="20D25F00">
            <w:pPr>
              <w:widowControl/>
              <w:rPr>
                <w:rFonts w:hint="eastAsia"/>
                <w:sz w:val="24"/>
                <w:szCs w:val="24"/>
              </w:rPr>
            </w:pPr>
            <w:r>
              <w:rPr>
                <w:rFonts w:hint="eastAsia"/>
                <w:sz w:val="24"/>
                <w:szCs w:val="24"/>
              </w:rPr>
              <w:t>检验报告单打印</w:t>
            </w:r>
          </w:p>
        </w:tc>
        <w:tc>
          <w:tcPr>
            <w:tcW w:w="6378" w:type="dxa"/>
            <w:tcBorders>
              <w:top w:val="nil"/>
              <w:left w:val="nil"/>
              <w:bottom w:val="single" w:color="auto" w:sz="4" w:space="0"/>
              <w:right w:val="single" w:color="auto" w:sz="4" w:space="0"/>
            </w:tcBorders>
            <w:shd w:val="clear" w:color="auto" w:fill="auto"/>
            <w:vAlign w:val="center"/>
          </w:tcPr>
          <w:p w14:paraId="4193538C">
            <w:pPr>
              <w:widowControl/>
              <w:rPr>
                <w:rFonts w:hint="eastAsia"/>
                <w:sz w:val="24"/>
                <w:szCs w:val="24"/>
              </w:rPr>
            </w:pPr>
            <w:r>
              <w:rPr>
                <w:rFonts w:hint="eastAsia"/>
                <w:sz w:val="24"/>
                <w:szCs w:val="24"/>
              </w:rPr>
              <w:t>在自助设备上支持患者自助打印检验报告单</w:t>
            </w:r>
          </w:p>
        </w:tc>
      </w:tr>
      <w:tr w14:paraId="6A9063A6">
        <w:tblPrEx>
          <w:tblCellMar>
            <w:top w:w="0" w:type="dxa"/>
            <w:left w:w="108" w:type="dxa"/>
            <w:bottom w:w="0" w:type="dxa"/>
            <w:right w:w="108" w:type="dxa"/>
          </w:tblCellMar>
        </w:tblPrEx>
        <w:trPr>
          <w:trHeight w:val="555"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2B60E23E">
            <w:pPr>
              <w:widowControl/>
              <w:jc w:val="center"/>
              <w:rPr>
                <w:rFonts w:hint="eastAsia"/>
                <w:sz w:val="24"/>
                <w:szCs w:val="24"/>
              </w:rPr>
            </w:pPr>
            <w:r>
              <w:rPr>
                <w:rFonts w:hint="eastAsia"/>
                <w:sz w:val="24"/>
                <w:szCs w:val="24"/>
              </w:rPr>
              <w:t>12</w:t>
            </w:r>
          </w:p>
        </w:tc>
        <w:tc>
          <w:tcPr>
            <w:tcW w:w="2236" w:type="dxa"/>
            <w:tcBorders>
              <w:top w:val="nil"/>
              <w:left w:val="nil"/>
              <w:bottom w:val="single" w:color="auto" w:sz="4" w:space="0"/>
              <w:right w:val="single" w:color="auto" w:sz="4" w:space="0"/>
            </w:tcBorders>
            <w:shd w:val="clear" w:color="auto" w:fill="auto"/>
            <w:noWrap/>
            <w:vAlign w:val="center"/>
          </w:tcPr>
          <w:p w14:paraId="3ED42AA8">
            <w:pPr>
              <w:widowControl/>
              <w:rPr>
                <w:rFonts w:hint="eastAsia"/>
                <w:sz w:val="24"/>
                <w:szCs w:val="24"/>
              </w:rPr>
            </w:pPr>
            <w:r>
              <w:rPr>
                <w:rFonts w:hint="eastAsia"/>
                <w:sz w:val="24"/>
                <w:szCs w:val="24"/>
              </w:rPr>
              <w:t>相关查询业务</w:t>
            </w:r>
          </w:p>
        </w:tc>
        <w:tc>
          <w:tcPr>
            <w:tcW w:w="6378" w:type="dxa"/>
            <w:tcBorders>
              <w:top w:val="nil"/>
              <w:left w:val="nil"/>
              <w:bottom w:val="single" w:color="auto" w:sz="4" w:space="0"/>
              <w:right w:val="single" w:color="auto" w:sz="4" w:space="0"/>
            </w:tcBorders>
            <w:shd w:val="clear" w:color="auto" w:fill="auto"/>
            <w:vAlign w:val="center"/>
          </w:tcPr>
          <w:p w14:paraId="6C754978">
            <w:pPr>
              <w:widowControl/>
              <w:rPr>
                <w:rFonts w:hint="eastAsia"/>
                <w:sz w:val="24"/>
                <w:szCs w:val="24"/>
              </w:rPr>
            </w:pPr>
            <w:r>
              <w:rPr>
                <w:rFonts w:hint="eastAsia"/>
                <w:sz w:val="24"/>
                <w:szCs w:val="24"/>
              </w:rPr>
              <w:t>在自助设备上支持物价查询、挂号记录查询、门诊缴费记录查询、医院/科室/医生相关介绍功能</w:t>
            </w:r>
          </w:p>
        </w:tc>
      </w:tr>
      <w:tr w14:paraId="57D0E71C">
        <w:tblPrEx>
          <w:tblCellMar>
            <w:top w:w="0" w:type="dxa"/>
            <w:left w:w="108" w:type="dxa"/>
            <w:bottom w:w="0" w:type="dxa"/>
            <w:right w:w="108" w:type="dxa"/>
          </w:tblCellMar>
        </w:tblPrEx>
        <w:trPr>
          <w:trHeight w:val="555"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404BB63D">
            <w:pPr>
              <w:widowControl/>
              <w:jc w:val="center"/>
              <w:rPr>
                <w:rFonts w:hint="eastAsia"/>
                <w:sz w:val="24"/>
                <w:szCs w:val="24"/>
              </w:rPr>
            </w:pPr>
            <w:r>
              <w:rPr>
                <w:rFonts w:hint="eastAsia"/>
                <w:sz w:val="24"/>
                <w:szCs w:val="24"/>
              </w:rPr>
              <w:t>13</w:t>
            </w:r>
          </w:p>
        </w:tc>
        <w:tc>
          <w:tcPr>
            <w:tcW w:w="2236" w:type="dxa"/>
            <w:tcBorders>
              <w:top w:val="nil"/>
              <w:left w:val="nil"/>
              <w:bottom w:val="single" w:color="auto" w:sz="4" w:space="0"/>
              <w:right w:val="single" w:color="auto" w:sz="4" w:space="0"/>
            </w:tcBorders>
            <w:shd w:val="clear" w:color="auto" w:fill="auto"/>
            <w:noWrap/>
            <w:vAlign w:val="center"/>
          </w:tcPr>
          <w:p w14:paraId="339B2152">
            <w:pPr>
              <w:widowControl/>
              <w:rPr>
                <w:rFonts w:hint="eastAsia"/>
                <w:sz w:val="24"/>
                <w:szCs w:val="24"/>
              </w:rPr>
            </w:pPr>
            <w:r>
              <w:rPr>
                <w:rFonts w:hint="eastAsia"/>
                <w:sz w:val="24"/>
                <w:szCs w:val="24"/>
              </w:rPr>
              <w:t>医疗文书类打印</w:t>
            </w:r>
          </w:p>
        </w:tc>
        <w:tc>
          <w:tcPr>
            <w:tcW w:w="6378" w:type="dxa"/>
            <w:tcBorders>
              <w:top w:val="nil"/>
              <w:left w:val="nil"/>
              <w:bottom w:val="single" w:color="auto" w:sz="4" w:space="0"/>
              <w:right w:val="single" w:color="auto" w:sz="4" w:space="0"/>
            </w:tcBorders>
            <w:shd w:val="clear" w:color="auto" w:fill="auto"/>
            <w:vAlign w:val="center"/>
          </w:tcPr>
          <w:p w14:paraId="615A147D">
            <w:pPr>
              <w:widowControl/>
              <w:rPr>
                <w:rFonts w:hint="eastAsia"/>
                <w:sz w:val="24"/>
                <w:szCs w:val="24"/>
              </w:rPr>
            </w:pPr>
            <w:r>
              <w:rPr>
                <w:rFonts w:hint="eastAsia"/>
                <w:sz w:val="24"/>
                <w:szCs w:val="24"/>
              </w:rPr>
              <w:t>需要院内列出相关打印内容（类似：疾病诊断证明、入院证。。。。。）</w:t>
            </w:r>
          </w:p>
        </w:tc>
      </w:tr>
      <w:tr w14:paraId="6B7A0F36">
        <w:tblPrEx>
          <w:tblCellMar>
            <w:top w:w="0" w:type="dxa"/>
            <w:left w:w="108" w:type="dxa"/>
            <w:bottom w:w="0" w:type="dxa"/>
            <w:right w:w="108" w:type="dxa"/>
          </w:tblCellMar>
        </w:tblPrEx>
        <w:trPr>
          <w:trHeight w:val="555" w:hRule="atLeast"/>
        </w:trPr>
        <w:tc>
          <w:tcPr>
            <w:tcW w:w="1020" w:type="dxa"/>
            <w:tcBorders>
              <w:top w:val="nil"/>
              <w:left w:val="single" w:color="auto" w:sz="4" w:space="0"/>
              <w:bottom w:val="single" w:color="auto" w:sz="4" w:space="0"/>
              <w:right w:val="single" w:color="auto" w:sz="4" w:space="0"/>
            </w:tcBorders>
            <w:shd w:val="clear" w:color="000000" w:fill="FFFFFF"/>
            <w:noWrap/>
            <w:vAlign w:val="center"/>
          </w:tcPr>
          <w:p w14:paraId="043F0600">
            <w:pPr>
              <w:widowControl/>
              <w:jc w:val="center"/>
              <w:rPr>
                <w:rFonts w:hint="eastAsia"/>
                <w:sz w:val="24"/>
                <w:szCs w:val="24"/>
              </w:rPr>
            </w:pPr>
            <w:r>
              <w:rPr>
                <w:rFonts w:hint="eastAsia"/>
                <w:sz w:val="24"/>
                <w:szCs w:val="24"/>
              </w:rPr>
              <w:t>14</w:t>
            </w:r>
          </w:p>
        </w:tc>
        <w:tc>
          <w:tcPr>
            <w:tcW w:w="2236" w:type="dxa"/>
            <w:tcBorders>
              <w:top w:val="nil"/>
              <w:left w:val="nil"/>
              <w:bottom w:val="single" w:color="auto" w:sz="4" w:space="0"/>
              <w:right w:val="single" w:color="auto" w:sz="4" w:space="0"/>
            </w:tcBorders>
            <w:shd w:val="clear" w:color="000000" w:fill="FFFFFF"/>
            <w:noWrap/>
            <w:vAlign w:val="center"/>
          </w:tcPr>
          <w:p w14:paraId="00D5E5E7">
            <w:pPr>
              <w:widowControl/>
              <w:rPr>
                <w:rFonts w:hint="eastAsia"/>
                <w:sz w:val="24"/>
                <w:szCs w:val="24"/>
              </w:rPr>
            </w:pPr>
            <w:r>
              <w:rPr>
                <w:rFonts w:hint="eastAsia"/>
                <w:sz w:val="24"/>
                <w:szCs w:val="24"/>
              </w:rPr>
              <w:t>门诊患者信息修改</w:t>
            </w:r>
          </w:p>
        </w:tc>
        <w:tc>
          <w:tcPr>
            <w:tcW w:w="6378" w:type="dxa"/>
            <w:tcBorders>
              <w:top w:val="nil"/>
              <w:left w:val="nil"/>
              <w:bottom w:val="single" w:color="auto" w:sz="4" w:space="0"/>
              <w:right w:val="single" w:color="auto" w:sz="4" w:space="0"/>
            </w:tcBorders>
            <w:shd w:val="clear" w:color="000000" w:fill="FFFFFF"/>
            <w:vAlign w:val="center"/>
          </w:tcPr>
          <w:p w14:paraId="28E16F5D">
            <w:pPr>
              <w:widowControl/>
              <w:rPr>
                <w:rFonts w:hint="eastAsia"/>
                <w:sz w:val="24"/>
                <w:szCs w:val="24"/>
              </w:rPr>
            </w:pPr>
            <w:r>
              <w:rPr>
                <w:rFonts w:hint="eastAsia"/>
                <w:sz w:val="24"/>
                <w:szCs w:val="24"/>
              </w:rPr>
              <w:t>在自助设备上支持门诊患者的基本信息修改功能（电话、紧急联系人、地址、医保身份修改）</w:t>
            </w:r>
          </w:p>
        </w:tc>
      </w:tr>
      <w:tr w14:paraId="21BF2C3C">
        <w:tblPrEx>
          <w:tblCellMar>
            <w:top w:w="0" w:type="dxa"/>
            <w:left w:w="108" w:type="dxa"/>
            <w:bottom w:w="0" w:type="dxa"/>
            <w:right w:w="108" w:type="dxa"/>
          </w:tblCellMar>
        </w:tblPrEx>
        <w:trPr>
          <w:trHeight w:val="278"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44A67A73">
            <w:pPr>
              <w:widowControl/>
              <w:jc w:val="center"/>
              <w:rPr>
                <w:rFonts w:hint="eastAsia"/>
                <w:sz w:val="24"/>
                <w:szCs w:val="24"/>
              </w:rPr>
            </w:pPr>
            <w:r>
              <w:rPr>
                <w:rFonts w:hint="eastAsia"/>
                <w:sz w:val="24"/>
                <w:szCs w:val="24"/>
              </w:rPr>
              <w:t>15</w:t>
            </w:r>
          </w:p>
        </w:tc>
        <w:tc>
          <w:tcPr>
            <w:tcW w:w="2236" w:type="dxa"/>
            <w:tcBorders>
              <w:top w:val="nil"/>
              <w:left w:val="nil"/>
              <w:bottom w:val="single" w:color="auto" w:sz="4" w:space="0"/>
              <w:right w:val="single" w:color="auto" w:sz="4" w:space="0"/>
            </w:tcBorders>
            <w:shd w:val="clear" w:color="auto" w:fill="auto"/>
            <w:noWrap/>
            <w:vAlign w:val="center"/>
          </w:tcPr>
          <w:p w14:paraId="41B45855">
            <w:pPr>
              <w:widowControl/>
              <w:rPr>
                <w:rFonts w:hint="eastAsia"/>
                <w:sz w:val="24"/>
                <w:szCs w:val="24"/>
              </w:rPr>
            </w:pPr>
            <w:r>
              <w:rPr>
                <w:rFonts w:hint="eastAsia"/>
                <w:sz w:val="24"/>
                <w:szCs w:val="24"/>
              </w:rPr>
              <w:t>满意度调查</w:t>
            </w:r>
          </w:p>
        </w:tc>
        <w:tc>
          <w:tcPr>
            <w:tcW w:w="6378" w:type="dxa"/>
            <w:tcBorders>
              <w:top w:val="nil"/>
              <w:left w:val="nil"/>
              <w:bottom w:val="single" w:color="auto" w:sz="4" w:space="0"/>
              <w:right w:val="single" w:color="auto" w:sz="4" w:space="0"/>
            </w:tcBorders>
            <w:shd w:val="clear" w:color="auto" w:fill="auto"/>
            <w:vAlign w:val="center"/>
          </w:tcPr>
          <w:p w14:paraId="3EAD8474">
            <w:pPr>
              <w:widowControl/>
              <w:rPr>
                <w:rFonts w:hint="eastAsia"/>
                <w:sz w:val="24"/>
                <w:szCs w:val="24"/>
              </w:rPr>
            </w:pPr>
            <w:r>
              <w:rPr>
                <w:rFonts w:hint="eastAsia"/>
                <w:sz w:val="24"/>
                <w:szCs w:val="24"/>
              </w:rPr>
              <w:t>在自助设备上支持患者对就诊各环节满意度评价</w:t>
            </w:r>
          </w:p>
        </w:tc>
      </w:tr>
      <w:tr w14:paraId="532E672A">
        <w:tblPrEx>
          <w:tblCellMar>
            <w:top w:w="0" w:type="dxa"/>
            <w:left w:w="108" w:type="dxa"/>
            <w:bottom w:w="0" w:type="dxa"/>
            <w:right w:w="108" w:type="dxa"/>
          </w:tblCellMar>
        </w:tblPrEx>
        <w:trPr>
          <w:trHeight w:val="555"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3E10C852">
            <w:pPr>
              <w:widowControl/>
              <w:jc w:val="center"/>
              <w:rPr>
                <w:rFonts w:hint="eastAsia"/>
                <w:sz w:val="24"/>
                <w:szCs w:val="24"/>
              </w:rPr>
            </w:pPr>
            <w:r>
              <w:rPr>
                <w:rFonts w:hint="eastAsia"/>
                <w:sz w:val="24"/>
                <w:szCs w:val="24"/>
              </w:rPr>
              <w:t>16</w:t>
            </w:r>
          </w:p>
        </w:tc>
        <w:tc>
          <w:tcPr>
            <w:tcW w:w="2236" w:type="dxa"/>
            <w:tcBorders>
              <w:top w:val="nil"/>
              <w:left w:val="nil"/>
              <w:bottom w:val="single" w:color="auto" w:sz="4" w:space="0"/>
              <w:right w:val="single" w:color="auto" w:sz="4" w:space="0"/>
            </w:tcBorders>
            <w:shd w:val="clear" w:color="auto" w:fill="auto"/>
            <w:noWrap/>
            <w:vAlign w:val="center"/>
          </w:tcPr>
          <w:p w14:paraId="24E1D96B">
            <w:pPr>
              <w:widowControl/>
              <w:rPr>
                <w:rFonts w:hint="eastAsia"/>
                <w:sz w:val="24"/>
                <w:szCs w:val="24"/>
              </w:rPr>
            </w:pPr>
            <w:r>
              <w:rPr>
                <w:rFonts w:hint="eastAsia"/>
                <w:sz w:val="24"/>
                <w:szCs w:val="24"/>
              </w:rPr>
              <w:t>住院入院登记办理</w:t>
            </w:r>
          </w:p>
        </w:tc>
        <w:tc>
          <w:tcPr>
            <w:tcW w:w="6378" w:type="dxa"/>
            <w:tcBorders>
              <w:top w:val="nil"/>
              <w:left w:val="nil"/>
              <w:bottom w:val="single" w:color="auto" w:sz="4" w:space="0"/>
              <w:right w:val="single" w:color="auto" w:sz="4" w:space="0"/>
            </w:tcBorders>
            <w:shd w:val="clear" w:color="auto" w:fill="auto"/>
            <w:vAlign w:val="center"/>
          </w:tcPr>
          <w:p w14:paraId="075E995E">
            <w:pPr>
              <w:widowControl/>
              <w:rPr>
                <w:rFonts w:hint="eastAsia"/>
                <w:sz w:val="24"/>
                <w:szCs w:val="24"/>
              </w:rPr>
            </w:pPr>
            <w:r>
              <w:rPr>
                <w:rFonts w:hint="eastAsia"/>
                <w:sz w:val="24"/>
                <w:szCs w:val="24"/>
              </w:rPr>
              <w:t>在自助设备上支持已开具入院证患者的自助入院办理功能</w:t>
            </w:r>
          </w:p>
        </w:tc>
      </w:tr>
      <w:tr w14:paraId="48E1D763">
        <w:tblPrEx>
          <w:tblCellMar>
            <w:top w:w="0" w:type="dxa"/>
            <w:left w:w="108" w:type="dxa"/>
            <w:bottom w:w="0" w:type="dxa"/>
            <w:right w:w="108" w:type="dxa"/>
          </w:tblCellMar>
        </w:tblPrEx>
        <w:trPr>
          <w:trHeight w:val="278"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3638A30E">
            <w:pPr>
              <w:widowControl/>
              <w:jc w:val="center"/>
              <w:rPr>
                <w:rFonts w:hint="eastAsia"/>
                <w:sz w:val="24"/>
                <w:szCs w:val="24"/>
              </w:rPr>
            </w:pPr>
            <w:r>
              <w:rPr>
                <w:rFonts w:hint="eastAsia"/>
                <w:sz w:val="24"/>
                <w:szCs w:val="24"/>
              </w:rPr>
              <w:t>17</w:t>
            </w:r>
          </w:p>
        </w:tc>
        <w:tc>
          <w:tcPr>
            <w:tcW w:w="2236" w:type="dxa"/>
            <w:tcBorders>
              <w:top w:val="nil"/>
              <w:left w:val="nil"/>
              <w:bottom w:val="single" w:color="auto" w:sz="4" w:space="0"/>
              <w:right w:val="single" w:color="auto" w:sz="4" w:space="0"/>
            </w:tcBorders>
            <w:shd w:val="clear" w:color="auto" w:fill="auto"/>
            <w:noWrap/>
            <w:vAlign w:val="center"/>
          </w:tcPr>
          <w:p w14:paraId="35D42009">
            <w:pPr>
              <w:widowControl/>
              <w:rPr>
                <w:rFonts w:hint="eastAsia"/>
                <w:sz w:val="24"/>
                <w:szCs w:val="24"/>
              </w:rPr>
            </w:pPr>
            <w:r>
              <w:rPr>
                <w:rFonts w:hint="eastAsia"/>
                <w:sz w:val="24"/>
                <w:szCs w:val="24"/>
              </w:rPr>
              <w:t>住院押金充值</w:t>
            </w:r>
          </w:p>
        </w:tc>
        <w:tc>
          <w:tcPr>
            <w:tcW w:w="6378" w:type="dxa"/>
            <w:tcBorders>
              <w:top w:val="nil"/>
              <w:left w:val="nil"/>
              <w:bottom w:val="single" w:color="auto" w:sz="4" w:space="0"/>
              <w:right w:val="single" w:color="auto" w:sz="4" w:space="0"/>
            </w:tcBorders>
            <w:shd w:val="clear" w:color="auto" w:fill="auto"/>
            <w:vAlign w:val="center"/>
          </w:tcPr>
          <w:p w14:paraId="25DDCBD8">
            <w:pPr>
              <w:widowControl/>
              <w:rPr>
                <w:rFonts w:hint="eastAsia"/>
                <w:sz w:val="24"/>
                <w:szCs w:val="24"/>
              </w:rPr>
            </w:pPr>
            <w:r>
              <w:rPr>
                <w:rFonts w:hint="eastAsia"/>
                <w:sz w:val="24"/>
                <w:szCs w:val="24"/>
              </w:rPr>
              <w:t>在自助设备上支持患者自助押金充值功能</w:t>
            </w:r>
          </w:p>
        </w:tc>
      </w:tr>
      <w:tr w14:paraId="7D099C26">
        <w:tblPrEx>
          <w:tblCellMar>
            <w:top w:w="0" w:type="dxa"/>
            <w:left w:w="108" w:type="dxa"/>
            <w:bottom w:w="0" w:type="dxa"/>
            <w:right w:w="108" w:type="dxa"/>
          </w:tblCellMar>
        </w:tblPrEx>
        <w:trPr>
          <w:trHeight w:val="278" w:hRule="atLeast"/>
        </w:trPr>
        <w:tc>
          <w:tcPr>
            <w:tcW w:w="1020" w:type="dxa"/>
            <w:vMerge w:val="restart"/>
            <w:tcBorders>
              <w:top w:val="nil"/>
              <w:left w:val="single" w:color="auto" w:sz="4" w:space="0"/>
              <w:bottom w:val="single" w:color="auto" w:sz="4" w:space="0"/>
              <w:right w:val="single" w:color="auto" w:sz="4" w:space="0"/>
            </w:tcBorders>
            <w:shd w:val="clear" w:color="auto" w:fill="auto"/>
            <w:noWrap/>
            <w:vAlign w:val="center"/>
          </w:tcPr>
          <w:p w14:paraId="1B10DA77">
            <w:pPr>
              <w:widowControl/>
              <w:jc w:val="center"/>
              <w:rPr>
                <w:rFonts w:hint="eastAsia"/>
                <w:sz w:val="24"/>
                <w:szCs w:val="24"/>
              </w:rPr>
            </w:pPr>
            <w:r>
              <w:rPr>
                <w:rFonts w:hint="eastAsia"/>
                <w:sz w:val="24"/>
                <w:szCs w:val="24"/>
              </w:rPr>
              <w:t>18</w:t>
            </w:r>
          </w:p>
        </w:tc>
        <w:tc>
          <w:tcPr>
            <w:tcW w:w="2236" w:type="dxa"/>
            <w:vMerge w:val="restart"/>
            <w:tcBorders>
              <w:top w:val="nil"/>
              <w:left w:val="single" w:color="auto" w:sz="4" w:space="0"/>
              <w:bottom w:val="single" w:color="auto" w:sz="4" w:space="0"/>
              <w:right w:val="single" w:color="auto" w:sz="4" w:space="0"/>
            </w:tcBorders>
            <w:shd w:val="clear" w:color="auto" w:fill="auto"/>
            <w:noWrap/>
            <w:vAlign w:val="center"/>
          </w:tcPr>
          <w:p w14:paraId="7099D77A">
            <w:pPr>
              <w:widowControl/>
              <w:rPr>
                <w:rFonts w:hint="eastAsia"/>
                <w:sz w:val="24"/>
                <w:szCs w:val="24"/>
              </w:rPr>
            </w:pPr>
            <w:r>
              <w:rPr>
                <w:rFonts w:hint="eastAsia"/>
                <w:sz w:val="24"/>
                <w:szCs w:val="24"/>
              </w:rPr>
              <w:t>住院清单查询打印</w:t>
            </w:r>
          </w:p>
        </w:tc>
        <w:tc>
          <w:tcPr>
            <w:tcW w:w="6378" w:type="dxa"/>
            <w:tcBorders>
              <w:top w:val="nil"/>
              <w:left w:val="nil"/>
              <w:bottom w:val="single" w:color="auto" w:sz="4" w:space="0"/>
              <w:right w:val="single" w:color="auto" w:sz="4" w:space="0"/>
            </w:tcBorders>
            <w:shd w:val="clear" w:color="auto" w:fill="auto"/>
            <w:vAlign w:val="center"/>
          </w:tcPr>
          <w:p w14:paraId="58EC51C3">
            <w:pPr>
              <w:widowControl/>
              <w:rPr>
                <w:rFonts w:hint="eastAsia"/>
                <w:sz w:val="24"/>
                <w:szCs w:val="24"/>
              </w:rPr>
            </w:pPr>
            <w:r>
              <w:rPr>
                <w:rFonts w:hint="eastAsia"/>
                <w:sz w:val="24"/>
                <w:szCs w:val="24"/>
              </w:rPr>
              <w:t>在自助设备上支持患者自助打印住院总清单</w:t>
            </w:r>
          </w:p>
        </w:tc>
      </w:tr>
      <w:tr w14:paraId="5783F19F">
        <w:tblPrEx>
          <w:tblCellMar>
            <w:top w:w="0" w:type="dxa"/>
            <w:left w:w="108" w:type="dxa"/>
            <w:bottom w:w="0" w:type="dxa"/>
            <w:right w:w="108" w:type="dxa"/>
          </w:tblCellMar>
        </w:tblPrEx>
        <w:trPr>
          <w:trHeight w:val="278" w:hRule="atLeast"/>
        </w:trPr>
        <w:tc>
          <w:tcPr>
            <w:tcW w:w="1020" w:type="dxa"/>
            <w:vMerge w:val="continue"/>
            <w:tcBorders>
              <w:top w:val="nil"/>
              <w:left w:val="single" w:color="auto" w:sz="4" w:space="0"/>
              <w:bottom w:val="single" w:color="auto" w:sz="4" w:space="0"/>
              <w:right w:val="single" w:color="auto" w:sz="4" w:space="0"/>
            </w:tcBorders>
            <w:vAlign w:val="center"/>
          </w:tcPr>
          <w:p w14:paraId="74B856BC">
            <w:pPr>
              <w:widowControl/>
              <w:jc w:val="center"/>
              <w:rPr>
                <w:rFonts w:hint="eastAsia"/>
                <w:sz w:val="24"/>
                <w:szCs w:val="24"/>
              </w:rPr>
            </w:pPr>
          </w:p>
        </w:tc>
        <w:tc>
          <w:tcPr>
            <w:tcW w:w="2236" w:type="dxa"/>
            <w:vMerge w:val="continue"/>
            <w:tcBorders>
              <w:top w:val="nil"/>
              <w:left w:val="single" w:color="auto" w:sz="4" w:space="0"/>
              <w:bottom w:val="single" w:color="auto" w:sz="4" w:space="0"/>
              <w:right w:val="single" w:color="auto" w:sz="4" w:space="0"/>
            </w:tcBorders>
            <w:vAlign w:val="center"/>
          </w:tcPr>
          <w:p w14:paraId="5EE47117">
            <w:pPr>
              <w:widowControl/>
              <w:rPr>
                <w:rFonts w:hint="eastAsia"/>
                <w:sz w:val="24"/>
                <w:szCs w:val="24"/>
              </w:rPr>
            </w:pPr>
          </w:p>
        </w:tc>
        <w:tc>
          <w:tcPr>
            <w:tcW w:w="6378" w:type="dxa"/>
            <w:tcBorders>
              <w:top w:val="nil"/>
              <w:left w:val="nil"/>
              <w:bottom w:val="single" w:color="auto" w:sz="4" w:space="0"/>
              <w:right w:val="single" w:color="auto" w:sz="4" w:space="0"/>
            </w:tcBorders>
            <w:shd w:val="clear" w:color="auto" w:fill="auto"/>
            <w:vAlign w:val="center"/>
          </w:tcPr>
          <w:p w14:paraId="7CD376DD">
            <w:pPr>
              <w:widowControl/>
              <w:rPr>
                <w:rFonts w:hint="eastAsia"/>
                <w:sz w:val="24"/>
                <w:szCs w:val="24"/>
              </w:rPr>
            </w:pPr>
            <w:r>
              <w:rPr>
                <w:rFonts w:hint="eastAsia"/>
                <w:sz w:val="24"/>
                <w:szCs w:val="24"/>
              </w:rPr>
              <w:t>在自助设备上支持患者门诊日清单查询</w:t>
            </w:r>
          </w:p>
        </w:tc>
      </w:tr>
      <w:tr w14:paraId="79501F63">
        <w:tblPrEx>
          <w:tblCellMar>
            <w:top w:w="0" w:type="dxa"/>
            <w:left w:w="108" w:type="dxa"/>
            <w:bottom w:w="0" w:type="dxa"/>
            <w:right w:w="108" w:type="dxa"/>
          </w:tblCellMar>
        </w:tblPrEx>
        <w:trPr>
          <w:trHeight w:val="278"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7BD94BFB">
            <w:pPr>
              <w:widowControl/>
              <w:jc w:val="center"/>
              <w:rPr>
                <w:rFonts w:hint="eastAsia"/>
                <w:sz w:val="24"/>
                <w:szCs w:val="24"/>
              </w:rPr>
            </w:pPr>
            <w:r>
              <w:rPr>
                <w:rFonts w:hint="eastAsia"/>
                <w:sz w:val="24"/>
                <w:szCs w:val="24"/>
              </w:rPr>
              <w:t>19</w:t>
            </w:r>
          </w:p>
        </w:tc>
        <w:tc>
          <w:tcPr>
            <w:tcW w:w="2236" w:type="dxa"/>
            <w:tcBorders>
              <w:top w:val="nil"/>
              <w:left w:val="nil"/>
              <w:bottom w:val="single" w:color="auto" w:sz="4" w:space="0"/>
              <w:right w:val="single" w:color="auto" w:sz="4" w:space="0"/>
            </w:tcBorders>
            <w:shd w:val="clear" w:color="auto" w:fill="auto"/>
            <w:noWrap/>
            <w:vAlign w:val="center"/>
          </w:tcPr>
          <w:p w14:paraId="5A44D99D">
            <w:pPr>
              <w:widowControl/>
              <w:rPr>
                <w:rFonts w:hint="eastAsia"/>
                <w:sz w:val="24"/>
                <w:szCs w:val="24"/>
              </w:rPr>
            </w:pPr>
            <w:r>
              <w:rPr>
                <w:rFonts w:hint="eastAsia"/>
                <w:sz w:val="24"/>
                <w:szCs w:val="24"/>
              </w:rPr>
              <w:t>出院结算</w:t>
            </w:r>
          </w:p>
        </w:tc>
        <w:tc>
          <w:tcPr>
            <w:tcW w:w="6378" w:type="dxa"/>
            <w:tcBorders>
              <w:top w:val="nil"/>
              <w:left w:val="nil"/>
              <w:bottom w:val="single" w:color="auto" w:sz="4" w:space="0"/>
              <w:right w:val="single" w:color="auto" w:sz="4" w:space="0"/>
            </w:tcBorders>
            <w:shd w:val="clear" w:color="auto" w:fill="auto"/>
            <w:vAlign w:val="center"/>
          </w:tcPr>
          <w:p w14:paraId="1E5D3893">
            <w:pPr>
              <w:widowControl/>
              <w:rPr>
                <w:rFonts w:hint="eastAsia"/>
                <w:sz w:val="24"/>
                <w:szCs w:val="24"/>
              </w:rPr>
            </w:pPr>
            <w:r>
              <w:rPr>
                <w:rFonts w:hint="eastAsia"/>
                <w:sz w:val="24"/>
                <w:szCs w:val="24"/>
              </w:rPr>
              <w:t>在自助设备上支持住院患者的自助出院结算功能</w:t>
            </w:r>
          </w:p>
        </w:tc>
      </w:tr>
      <w:tr w14:paraId="081F27E8">
        <w:tblPrEx>
          <w:tblCellMar>
            <w:top w:w="0" w:type="dxa"/>
            <w:left w:w="108" w:type="dxa"/>
            <w:bottom w:w="0" w:type="dxa"/>
            <w:right w:w="108" w:type="dxa"/>
          </w:tblCellMar>
        </w:tblPrEx>
        <w:trPr>
          <w:trHeight w:val="555" w:hRule="atLeast"/>
        </w:trPr>
        <w:tc>
          <w:tcPr>
            <w:tcW w:w="1020" w:type="dxa"/>
            <w:tcBorders>
              <w:top w:val="nil"/>
              <w:left w:val="single" w:color="auto" w:sz="4" w:space="0"/>
              <w:bottom w:val="single" w:color="auto" w:sz="4" w:space="0"/>
              <w:right w:val="single" w:color="auto" w:sz="4" w:space="0"/>
            </w:tcBorders>
            <w:shd w:val="clear" w:color="auto" w:fill="auto"/>
            <w:noWrap/>
            <w:vAlign w:val="center"/>
          </w:tcPr>
          <w:p w14:paraId="11D11DD1">
            <w:pPr>
              <w:widowControl/>
              <w:jc w:val="center"/>
              <w:rPr>
                <w:rFonts w:hint="eastAsia"/>
                <w:sz w:val="24"/>
                <w:szCs w:val="24"/>
              </w:rPr>
            </w:pPr>
            <w:r>
              <w:rPr>
                <w:rFonts w:hint="eastAsia"/>
                <w:sz w:val="24"/>
                <w:szCs w:val="24"/>
              </w:rPr>
              <w:t>20</w:t>
            </w:r>
          </w:p>
        </w:tc>
        <w:tc>
          <w:tcPr>
            <w:tcW w:w="2236" w:type="dxa"/>
            <w:tcBorders>
              <w:top w:val="nil"/>
              <w:left w:val="nil"/>
              <w:bottom w:val="single" w:color="auto" w:sz="4" w:space="0"/>
              <w:right w:val="single" w:color="auto" w:sz="4" w:space="0"/>
            </w:tcBorders>
            <w:shd w:val="clear" w:color="auto" w:fill="auto"/>
            <w:noWrap/>
            <w:vAlign w:val="center"/>
          </w:tcPr>
          <w:p w14:paraId="1E71905A">
            <w:pPr>
              <w:widowControl/>
              <w:rPr>
                <w:rFonts w:hint="eastAsia"/>
                <w:sz w:val="24"/>
                <w:szCs w:val="24"/>
              </w:rPr>
            </w:pPr>
            <w:r>
              <w:rPr>
                <w:rFonts w:hint="eastAsia"/>
                <w:sz w:val="24"/>
                <w:szCs w:val="24"/>
              </w:rPr>
              <w:t>医保结算单打印</w:t>
            </w:r>
          </w:p>
        </w:tc>
        <w:tc>
          <w:tcPr>
            <w:tcW w:w="6378" w:type="dxa"/>
            <w:tcBorders>
              <w:top w:val="nil"/>
              <w:left w:val="nil"/>
              <w:bottom w:val="single" w:color="auto" w:sz="4" w:space="0"/>
              <w:right w:val="single" w:color="auto" w:sz="4" w:space="0"/>
            </w:tcBorders>
            <w:shd w:val="clear" w:color="auto" w:fill="auto"/>
            <w:vAlign w:val="center"/>
          </w:tcPr>
          <w:p w14:paraId="05BB93BB">
            <w:pPr>
              <w:widowControl/>
              <w:rPr>
                <w:rFonts w:hint="eastAsia"/>
                <w:sz w:val="24"/>
                <w:szCs w:val="24"/>
              </w:rPr>
            </w:pPr>
            <w:r>
              <w:rPr>
                <w:rFonts w:hint="eastAsia"/>
                <w:sz w:val="24"/>
                <w:szCs w:val="24"/>
              </w:rPr>
              <w:t>在自助设备上支持住院医保患者的医保结算单打印功能</w:t>
            </w:r>
          </w:p>
        </w:tc>
      </w:tr>
      <w:tr w14:paraId="783C2451">
        <w:tblPrEx>
          <w:tblCellMar>
            <w:top w:w="0" w:type="dxa"/>
            <w:left w:w="108" w:type="dxa"/>
            <w:bottom w:w="0" w:type="dxa"/>
            <w:right w:w="108" w:type="dxa"/>
          </w:tblCellMar>
        </w:tblPrEx>
        <w:trPr>
          <w:trHeight w:val="278" w:hRule="atLeast"/>
        </w:trPr>
        <w:tc>
          <w:tcPr>
            <w:tcW w:w="102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E4AA0E3">
            <w:pPr>
              <w:widowControl/>
              <w:jc w:val="center"/>
              <w:rPr>
                <w:rFonts w:hint="eastAsia"/>
                <w:sz w:val="24"/>
                <w:szCs w:val="24"/>
              </w:rPr>
            </w:pPr>
            <w:r>
              <w:rPr>
                <w:rFonts w:hint="eastAsia"/>
                <w:sz w:val="24"/>
                <w:szCs w:val="24"/>
              </w:rPr>
              <w:t>21</w:t>
            </w:r>
          </w:p>
        </w:tc>
        <w:tc>
          <w:tcPr>
            <w:tcW w:w="22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0AE163">
            <w:pPr>
              <w:widowControl/>
              <w:rPr>
                <w:rFonts w:hint="eastAsia"/>
                <w:sz w:val="24"/>
                <w:szCs w:val="24"/>
              </w:rPr>
            </w:pPr>
            <w:r>
              <w:rPr>
                <w:rFonts w:hint="eastAsia"/>
                <w:sz w:val="24"/>
                <w:szCs w:val="24"/>
              </w:rPr>
              <w:t>支付方式</w:t>
            </w:r>
          </w:p>
        </w:tc>
        <w:tc>
          <w:tcPr>
            <w:tcW w:w="6378" w:type="dxa"/>
            <w:tcBorders>
              <w:top w:val="single" w:color="auto" w:sz="4" w:space="0"/>
              <w:left w:val="nil"/>
              <w:bottom w:val="single" w:color="auto" w:sz="4" w:space="0"/>
              <w:right w:val="single" w:color="auto" w:sz="4" w:space="0"/>
            </w:tcBorders>
            <w:shd w:val="clear" w:color="auto" w:fill="auto"/>
            <w:vAlign w:val="center"/>
          </w:tcPr>
          <w:p w14:paraId="3C7539EE">
            <w:pPr>
              <w:widowControl/>
              <w:rPr>
                <w:rFonts w:hint="eastAsia"/>
                <w:sz w:val="24"/>
                <w:szCs w:val="24"/>
              </w:rPr>
            </w:pPr>
            <w:r>
              <w:rPr>
                <w:rFonts w:hint="eastAsia"/>
                <w:sz w:val="24"/>
                <w:szCs w:val="24"/>
              </w:rPr>
              <w:t>在自助设备上支持患者微信扫码支付</w:t>
            </w:r>
          </w:p>
        </w:tc>
      </w:tr>
      <w:tr w14:paraId="25028726">
        <w:tblPrEx>
          <w:tblCellMar>
            <w:top w:w="0" w:type="dxa"/>
            <w:left w:w="108" w:type="dxa"/>
            <w:bottom w:w="0" w:type="dxa"/>
            <w:right w:w="108" w:type="dxa"/>
          </w:tblCellMar>
        </w:tblPrEx>
        <w:trPr>
          <w:trHeight w:val="278" w:hRule="atLeast"/>
        </w:trPr>
        <w:tc>
          <w:tcPr>
            <w:tcW w:w="1020" w:type="dxa"/>
            <w:vMerge w:val="continue"/>
            <w:tcBorders>
              <w:top w:val="single" w:color="auto" w:sz="4" w:space="0"/>
              <w:left w:val="single" w:color="auto" w:sz="4" w:space="0"/>
              <w:bottom w:val="single" w:color="auto" w:sz="4" w:space="0"/>
              <w:right w:val="single" w:color="auto" w:sz="4" w:space="0"/>
            </w:tcBorders>
            <w:vAlign w:val="center"/>
          </w:tcPr>
          <w:p w14:paraId="364A427E">
            <w:pPr>
              <w:widowControl/>
              <w:rPr>
                <w:rFonts w:hint="eastAsia"/>
                <w:sz w:val="24"/>
                <w:szCs w:val="24"/>
              </w:rPr>
            </w:pPr>
          </w:p>
        </w:tc>
        <w:tc>
          <w:tcPr>
            <w:tcW w:w="2236" w:type="dxa"/>
            <w:vMerge w:val="continue"/>
            <w:tcBorders>
              <w:top w:val="single" w:color="auto" w:sz="4" w:space="0"/>
              <w:left w:val="single" w:color="auto" w:sz="4" w:space="0"/>
              <w:bottom w:val="single" w:color="auto" w:sz="4" w:space="0"/>
              <w:right w:val="single" w:color="auto" w:sz="4" w:space="0"/>
            </w:tcBorders>
            <w:vAlign w:val="center"/>
          </w:tcPr>
          <w:p w14:paraId="59E5BA68">
            <w:pPr>
              <w:widowControl/>
              <w:rPr>
                <w:rFonts w:hint="eastAsia"/>
                <w:sz w:val="24"/>
                <w:szCs w:val="24"/>
              </w:rPr>
            </w:pPr>
          </w:p>
        </w:tc>
        <w:tc>
          <w:tcPr>
            <w:tcW w:w="6378" w:type="dxa"/>
            <w:tcBorders>
              <w:top w:val="single" w:color="auto" w:sz="4" w:space="0"/>
              <w:left w:val="nil"/>
              <w:bottom w:val="single" w:color="auto" w:sz="4" w:space="0"/>
              <w:right w:val="single" w:color="auto" w:sz="4" w:space="0"/>
            </w:tcBorders>
            <w:shd w:val="clear" w:color="auto" w:fill="auto"/>
            <w:vAlign w:val="center"/>
          </w:tcPr>
          <w:p w14:paraId="5D2D116E">
            <w:pPr>
              <w:widowControl/>
              <w:rPr>
                <w:rFonts w:hint="eastAsia"/>
                <w:sz w:val="24"/>
                <w:szCs w:val="24"/>
              </w:rPr>
            </w:pPr>
            <w:r>
              <w:rPr>
                <w:rFonts w:hint="eastAsia"/>
                <w:sz w:val="24"/>
                <w:szCs w:val="24"/>
              </w:rPr>
              <w:t>在自助设备上支持患者支付宝扫码支付</w:t>
            </w:r>
          </w:p>
        </w:tc>
      </w:tr>
      <w:tr w14:paraId="52953E55">
        <w:tblPrEx>
          <w:tblCellMar>
            <w:top w:w="0" w:type="dxa"/>
            <w:left w:w="108" w:type="dxa"/>
            <w:bottom w:w="0" w:type="dxa"/>
            <w:right w:w="108" w:type="dxa"/>
          </w:tblCellMar>
        </w:tblPrEx>
        <w:trPr>
          <w:trHeight w:val="278" w:hRule="atLeast"/>
        </w:trPr>
        <w:tc>
          <w:tcPr>
            <w:tcW w:w="1020" w:type="dxa"/>
            <w:vMerge w:val="continue"/>
            <w:tcBorders>
              <w:top w:val="single" w:color="auto" w:sz="4" w:space="0"/>
              <w:left w:val="single" w:color="auto" w:sz="4" w:space="0"/>
              <w:bottom w:val="single" w:color="auto" w:sz="4" w:space="0"/>
              <w:right w:val="single" w:color="auto" w:sz="4" w:space="0"/>
            </w:tcBorders>
            <w:vAlign w:val="center"/>
          </w:tcPr>
          <w:p w14:paraId="6D077CA4">
            <w:pPr>
              <w:widowControl/>
              <w:rPr>
                <w:rFonts w:hint="eastAsia"/>
                <w:sz w:val="24"/>
                <w:szCs w:val="24"/>
              </w:rPr>
            </w:pPr>
          </w:p>
        </w:tc>
        <w:tc>
          <w:tcPr>
            <w:tcW w:w="2236" w:type="dxa"/>
            <w:vMerge w:val="continue"/>
            <w:tcBorders>
              <w:top w:val="single" w:color="auto" w:sz="4" w:space="0"/>
              <w:left w:val="single" w:color="auto" w:sz="4" w:space="0"/>
              <w:bottom w:val="single" w:color="auto" w:sz="4" w:space="0"/>
              <w:right w:val="single" w:color="auto" w:sz="4" w:space="0"/>
            </w:tcBorders>
            <w:vAlign w:val="center"/>
          </w:tcPr>
          <w:p w14:paraId="5345967D">
            <w:pPr>
              <w:widowControl/>
              <w:rPr>
                <w:rFonts w:hint="eastAsia"/>
                <w:sz w:val="24"/>
                <w:szCs w:val="24"/>
              </w:rPr>
            </w:pPr>
          </w:p>
        </w:tc>
        <w:tc>
          <w:tcPr>
            <w:tcW w:w="6378" w:type="dxa"/>
            <w:tcBorders>
              <w:top w:val="single" w:color="auto" w:sz="4" w:space="0"/>
              <w:left w:val="nil"/>
              <w:bottom w:val="single" w:color="auto" w:sz="4" w:space="0"/>
              <w:right w:val="single" w:color="auto" w:sz="4" w:space="0"/>
            </w:tcBorders>
            <w:shd w:val="clear" w:color="auto" w:fill="auto"/>
            <w:vAlign w:val="center"/>
          </w:tcPr>
          <w:p w14:paraId="2FAB1D71">
            <w:pPr>
              <w:widowControl/>
              <w:rPr>
                <w:rFonts w:hint="eastAsia"/>
                <w:sz w:val="24"/>
                <w:szCs w:val="24"/>
              </w:rPr>
            </w:pPr>
            <w:r>
              <w:rPr>
                <w:rFonts w:hint="eastAsia"/>
                <w:sz w:val="24"/>
                <w:szCs w:val="24"/>
              </w:rPr>
              <w:t>在自助设备上支持患者银行卡刷卡支付</w:t>
            </w:r>
          </w:p>
        </w:tc>
      </w:tr>
      <w:tr w14:paraId="6CB35287">
        <w:tblPrEx>
          <w:tblCellMar>
            <w:top w:w="0" w:type="dxa"/>
            <w:left w:w="108" w:type="dxa"/>
            <w:bottom w:w="0" w:type="dxa"/>
            <w:right w:w="108" w:type="dxa"/>
          </w:tblCellMar>
        </w:tblPrEx>
        <w:trPr>
          <w:trHeight w:val="278" w:hRule="atLeast"/>
        </w:trPr>
        <w:tc>
          <w:tcPr>
            <w:tcW w:w="1020" w:type="dxa"/>
            <w:vMerge w:val="continue"/>
            <w:tcBorders>
              <w:top w:val="single" w:color="auto" w:sz="4" w:space="0"/>
              <w:left w:val="single" w:color="auto" w:sz="4" w:space="0"/>
              <w:bottom w:val="single" w:color="auto" w:sz="4" w:space="0"/>
              <w:right w:val="single" w:color="auto" w:sz="4" w:space="0"/>
            </w:tcBorders>
            <w:vAlign w:val="center"/>
          </w:tcPr>
          <w:p w14:paraId="42852B41">
            <w:pPr>
              <w:widowControl/>
              <w:rPr>
                <w:rFonts w:hint="eastAsia"/>
                <w:sz w:val="24"/>
                <w:szCs w:val="24"/>
              </w:rPr>
            </w:pPr>
          </w:p>
        </w:tc>
        <w:tc>
          <w:tcPr>
            <w:tcW w:w="2236" w:type="dxa"/>
            <w:vMerge w:val="continue"/>
            <w:tcBorders>
              <w:top w:val="single" w:color="auto" w:sz="4" w:space="0"/>
              <w:left w:val="single" w:color="auto" w:sz="4" w:space="0"/>
              <w:bottom w:val="single" w:color="auto" w:sz="4" w:space="0"/>
              <w:right w:val="single" w:color="auto" w:sz="4" w:space="0"/>
            </w:tcBorders>
            <w:vAlign w:val="center"/>
          </w:tcPr>
          <w:p w14:paraId="09D9376E">
            <w:pPr>
              <w:widowControl/>
              <w:rPr>
                <w:rFonts w:hint="eastAsia"/>
                <w:sz w:val="24"/>
                <w:szCs w:val="24"/>
              </w:rPr>
            </w:pPr>
          </w:p>
        </w:tc>
        <w:tc>
          <w:tcPr>
            <w:tcW w:w="6378" w:type="dxa"/>
            <w:tcBorders>
              <w:top w:val="single" w:color="auto" w:sz="4" w:space="0"/>
              <w:left w:val="nil"/>
              <w:bottom w:val="single" w:color="auto" w:sz="4" w:space="0"/>
              <w:right w:val="single" w:color="auto" w:sz="4" w:space="0"/>
            </w:tcBorders>
            <w:shd w:val="clear" w:color="auto" w:fill="auto"/>
            <w:vAlign w:val="center"/>
          </w:tcPr>
          <w:p w14:paraId="6D303021">
            <w:pPr>
              <w:widowControl/>
              <w:rPr>
                <w:rFonts w:hint="eastAsia"/>
                <w:sz w:val="24"/>
                <w:szCs w:val="24"/>
              </w:rPr>
            </w:pPr>
            <w:r>
              <w:rPr>
                <w:rFonts w:hint="eastAsia"/>
                <w:sz w:val="24"/>
                <w:szCs w:val="24"/>
              </w:rPr>
              <w:t>在自助设备上支持患者医保卡刷卡支付</w:t>
            </w:r>
          </w:p>
        </w:tc>
      </w:tr>
      <w:tr w14:paraId="0D7865E2">
        <w:tblPrEx>
          <w:tblCellMar>
            <w:top w:w="0" w:type="dxa"/>
            <w:left w:w="108" w:type="dxa"/>
            <w:bottom w:w="0" w:type="dxa"/>
            <w:right w:w="108" w:type="dxa"/>
          </w:tblCellMar>
        </w:tblPrEx>
        <w:trPr>
          <w:trHeight w:val="278" w:hRule="atLeast"/>
        </w:trPr>
        <w:tc>
          <w:tcPr>
            <w:tcW w:w="1020" w:type="dxa"/>
            <w:vMerge w:val="continue"/>
            <w:tcBorders>
              <w:top w:val="single" w:color="auto" w:sz="4" w:space="0"/>
              <w:left w:val="single" w:color="auto" w:sz="4" w:space="0"/>
              <w:bottom w:val="single" w:color="auto" w:sz="4" w:space="0"/>
              <w:right w:val="single" w:color="auto" w:sz="4" w:space="0"/>
            </w:tcBorders>
            <w:vAlign w:val="center"/>
          </w:tcPr>
          <w:p w14:paraId="3671FEA7">
            <w:pPr>
              <w:widowControl/>
              <w:rPr>
                <w:rFonts w:hint="eastAsia"/>
                <w:sz w:val="24"/>
                <w:szCs w:val="24"/>
              </w:rPr>
            </w:pPr>
          </w:p>
        </w:tc>
        <w:tc>
          <w:tcPr>
            <w:tcW w:w="2236" w:type="dxa"/>
            <w:vMerge w:val="continue"/>
            <w:tcBorders>
              <w:top w:val="single" w:color="auto" w:sz="4" w:space="0"/>
              <w:left w:val="single" w:color="auto" w:sz="4" w:space="0"/>
              <w:bottom w:val="single" w:color="auto" w:sz="4" w:space="0"/>
              <w:right w:val="single" w:color="auto" w:sz="4" w:space="0"/>
            </w:tcBorders>
            <w:vAlign w:val="center"/>
          </w:tcPr>
          <w:p w14:paraId="4E431F03">
            <w:pPr>
              <w:widowControl/>
              <w:rPr>
                <w:rFonts w:hint="eastAsia"/>
                <w:sz w:val="24"/>
                <w:szCs w:val="24"/>
              </w:rPr>
            </w:pPr>
          </w:p>
        </w:tc>
        <w:tc>
          <w:tcPr>
            <w:tcW w:w="6378" w:type="dxa"/>
            <w:tcBorders>
              <w:top w:val="single" w:color="auto" w:sz="4" w:space="0"/>
              <w:left w:val="nil"/>
              <w:bottom w:val="single" w:color="auto" w:sz="4" w:space="0"/>
              <w:right w:val="single" w:color="auto" w:sz="4" w:space="0"/>
            </w:tcBorders>
            <w:shd w:val="clear" w:color="auto" w:fill="auto"/>
            <w:vAlign w:val="center"/>
          </w:tcPr>
          <w:p w14:paraId="0009A7D6">
            <w:pPr>
              <w:widowControl/>
              <w:rPr>
                <w:rFonts w:hint="eastAsia"/>
                <w:sz w:val="24"/>
                <w:szCs w:val="24"/>
              </w:rPr>
            </w:pPr>
            <w:r>
              <w:rPr>
                <w:rFonts w:hint="eastAsia"/>
                <w:sz w:val="24"/>
                <w:szCs w:val="24"/>
              </w:rPr>
              <w:t>在自助设备上支持患者医保电子凭证支付</w:t>
            </w:r>
          </w:p>
        </w:tc>
      </w:tr>
    </w:tbl>
    <w:p w14:paraId="5EE937DD">
      <w:pPr>
        <w:spacing w:line="360" w:lineRule="auto"/>
        <w:ind w:firstLine="482"/>
        <w:rPr>
          <w:rFonts w:hint="eastAsia"/>
          <w:b/>
          <w:bCs/>
          <w:sz w:val="24"/>
          <w:szCs w:val="24"/>
        </w:rPr>
      </w:pPr>
    </w:p>
    <w:p w14:paraId="3410F996">
      <w:pPr>
        <w:pStyle w:val="3"/>
        <w:ind w:firstLine="482"/>
        <w:rPr>
          <w:rFonts w:hint="eastAsia"/>
        </w:rPr>
      </w:pPr>
      <w:r>
        <w:rPr>
          <w:rFonts w:hint="eastAsia"/>
        </w:rPr>
        <w:t>四、其他要求</w:t>
      </w:r>
    </w:p>
    <w:p w14:paraId="0A43D121">
      <w:pPr>
        <w:pStyle w:val="8"/>
        <w:spacing w:line="360" w:lineRule="auto"/>
        <w:ind w:firstLine="0" w:firstLineChars="0"/>
        <w:rPr>
          <w:rFonts w:hint="eastAsia"/>
          <w:b/>
          <w:bCs/>
          <w:sz w:val="24"/>
          <w:szCs w:val="24"/>
        </w:rPr>
      </w:pPr>
      <w:r>
        <w:rPr>
          <w:rFonts w:hint="eastAsia"/>
          <w:b/>
          <w:bCs/>
          <w:sz w:val="24"/>
          <w:szCs w:val="24"/>
        </w:rPr>
        <w:t>1、工期要求</w:t>
      </w:r>
    </w:p>
    <w:p w14:paraId="66BA8619">
      <w:pPr>
        <w:pStyle w:val="8"/>
        <w:spacing w:line="360" w:lineRule="auto"/>
        <w:ind w:firstLine="480"/>
        <w:rPr>
          <w:rFonts w:hint="eastAsia"/>
          <w:sz w:val="24"/>
          <w:szCs w:val="24"/>
        </w:rPr>
      </w:pPr>
      <w:r>
        <w:rPr>
          <w:rFonts w:hint="eastAsia"/>
          <w:sz w:val="24"/>
          <w:szCs w:val="24"/>
        </w:rPr>
        <w:t>自合同签订之日起</w:t>
      </w:r>
      <w:r>
        <w:rPr>
          <w:sz w:val="24"/>
          <w:szCs w:val="24"/>
        </w:rPr>
        <w:t>40</w:t>
      </w:r>
      <w:r>
        <w:rPr>
          <w:rFonts w:hint="eastAsia"/>
          <w:sz w:val="24"/>
          <w:szCs w:val="24"/>
        </w:rPr>
        <w:t>天内完成交货，合同签订10个工作日内完成软件功能的调试能够上线使用。如未能按时完成设备安装、系统接口对接和上线，由此导致医院项目延期，由</w:t>
      </w:r>
      <w:r>
        <w:rPr>
          <w:rFonts w:hint="eastAsia"/>
          <w:sz w:val="24"/>
          <w:szCs w:val="24"/>
          <w:highlight w:val="none"/>
        </w:rPr>
        <w:t>成交人负</w:t>
      </w:r>
      <w:r>
        <w:rPr>
          <w:rFonts w:hint="eastAsia"/>
          <w:sz w:val="24"/>
          <w:szCs w:val="24"/>
        </w:rPr>
        <w:t>责，采购人有权终止合同，并追究违约责任。</w:t>
      </w:r>
      <w:r>
        <w:rPr>
          <w:rFonts w:hint="eastAsia"/>
          <w:b/>
          <w:bCs/>
          <w:sz w:val="24"/>
          <w:szCs w:val="24"/>
        </w:rPr>
        <w:t>（响应时须提供承诺函并加盖响应人公章）</w:t>
      </w:r>
    </w:p>
    <w:p w14:paraId="1CB7663E">
      <w:pPr>
        <w:pStyle w:val="8"/>
        <w:spacing w:line="360" w:lineRule="auto"/>
        <w:ind w:firstLine="0" w:firstLineChars="0"/>
        <w:rPr>
          <w:rFonts w:hint="eastAsia"/>
          <w:b/>
          <w:bCs/>
          <w:sz w:val="24"/>
          <w:szCs w:val="24"/>
        </w:rPr>
      </w:pPr>
      <w:r>
        <w:rPr>
          <w:rFonts w:hint="eastAsia"/>
          <w:b/>
          <w:bCs/>
          <w:sz w:val="24"/>
          <w:szCs w:val="24"/>
        </w:rPr>
        <w:t>2、</w:t>
      </w:r>
      <w:bookmarkStart w:id="2" w:name="_Toc13515"/>
      <w:r>
        <w:rPr>
          <w:rFonts w:hint="eastAsia"/>
          <w:b/>
          <w:bCs/>
          <w:sz w:val="24"/>
          <w:szCs w:val="24"/>
        </w:rPr>
        <w:t>实施要求</w:t>
      </w:r>
      <w:bookmarkEnd w:id="2"/>
    </w:p>
    <w:p w14:paraId="42DA2759">
      <w:pPr>
        <w:spacing w:line="360" w:lineRule="auto"/>
        <w:rPr>
          <w:rFonts w:hint="eastAsia"/>
          <w:sz w:val="24"/>
          <w:szCs w:val="24"/>
        </w:rPr>
      </w:pPr>
      <w:r>
        <w:rPr>
          <w:rFonts w:hint="eastAsia"/>
          <w:sz w:val="24"/>
          <w:szCs w:val="24"/>
        </w:rPr>
        <w:t>（1）成交人提供的自助服务系统软件需要与医院已有HIS系统、LIS系统、PACS系统和支付对平台等第三方厂商对接，相关接口对接工作及</w:t>
      </w:r>
      <w:r>
        <w:rPr>
          <w:rFonts w:hint="eastAsia" w:ascii="宋体" w:hAnsi="宋体" w:cs="宋体"/>
          <w:sz w:val="24"/>
        </w:rPr>
        <w:t>产生相关费用</w:t>
      </w:r>
      <w:r>
        <w:rPr>
          <w:rFonts w:hint="eastAsia"/>
          <w:sz w:val="24"/>
          <w:szCs w:val="24"/>
        </w:rPr>
        <w:t>由成交人自行负责协调</w:t>
      </w:r>
      <w:r>
        <w:rPr>
          <w:rFonts w:hint="eastAsia" w:ascii="宋体" w:hAnsi="宋体" w:cs="宋体"/>
          <w:sz w:val="24"/>
        </w:rPr>
        <w:t>和承担</w:t>
      </w:r>
      <w:r>
        <w:rPr>
          <w:rFonts w:hint="eastAsia"/>
          <w:sz w:val="24"/>
          <w:szCs w:val="24"/>
        </w:rPr>
        <w:t>，采购人不再支付相关接口费用。</w:t>
      </w:r>
      <w:r>
        <w:rPr>
          <w:rFonts w:hint="eastAsia"/>
          <w:b/>
          <w:bCs/>
          <w:sz w:val="24"/>
          <w:szCs w:val="24"/>
        </w:rPr>
        <w:t>（须提供承诺函加盖响应人公章）</w:t>
      </w:r>
    </w:p>
    <w:p w14:paraId="46245E78">
      <w:pPr>
        <w:spacing w:line="360" w:lineRule="auto"/>
        <w:rPr>
          <w:rFonts w:hint="eastAsia"/>
          <w:sz w:val="24"/>
          <w:szCs w:val="24"/>
        </w:rPr>
      </w:pPr>
      <w:r>
        <w:rPr>
          <w:rFonts w:hint="eastAsia"/>
          <w:sz w:val="24"/>
          <w:szCs w:val="24"/>
        </w:rPr>
        <w:t>（2）响应人所提供的软件系统需具有充分的兼容性，与医院现有自助终端程序功能和流程一致，满足医院进行同质化管理和为患者提供同质化服务。</w:t>
      </w:r>
      <w:r>
        <w:rPr>
          <w:rFonts w:hint="eastAsia"/>
          <w:b/>
          <w:bCs/>
          <w:sz w:val="24"/>
          <w:szCs w:val="24"/>
        </w:rPr>
        <w:t>（须提供承诺函加盖响应人公章）</w:t>
      </w:r>
    </w:p>
    <w:p w14:paraId="7C48F2F6">
      <w:pPr>
        <w:pStyle w:val="8"/>
        <w:spacing w:line="360" w:lineRule="auto"/>
        <w:ind w:firstLine="0" w:firstLineChars="0"/>
        <w:rPr>
          <w:rFonts w:hint="eastAsia"/>
          <w:b/>
          <w:bCs/>
          <w:sz w:val="24"/>
          <w:szCs w:val="24"/>
        </w:rPr>
      </w:pPr>
      <w:r>
        <w:rPr>
          <w:rFonts w:hint="eastAsia"/>
          <w:b/>
          <w:bCs/>
          <w:sz w:val="24"/>
          <w:szCs w:val="24"/>
        </w:rPr>
        <w:t>3、售后服务要求</w:t>
      </w:r>
    </w:p>
    <w:p w14:paraId="159DD19D">
      <w:pPr>
        <w:spacing w:line="360" w:lineRule="auto"/>
        <w:rPr>
          <w:rFonts w:hint="eastAsia"/>
          <w:sz w:val="24"/>
          <w:szCs w:val="24"/>
        </w:rPr>
      </w:pPr>
      <w:r>
        <w:rPr>
          <w:rFonts w:hint="eastAsia"/>
          <w:sz w:val="24"/>
          <w:szCs w:val="24"/>
        </w:rPr>
        <w:t>（1）保障相关配套硬件设备的 7*24 安全运营，系统数据全面保护。</w:t>
      </w:r>
    </w:p>
    <w:p w14:paraId="627F2C74">
      <w:pPr>
        <w:spacing w:line="360" w:lineRule="auto"/>
        <w:rPr>
          <w:rFonts w:hint="eastAsia"/>
          <w:sz w:val="24"/>
          <w:szCs w:val="24"/>
        </w:rPr>
      </w:pPr>
      <w:r>
        <w:rPr>
          <w:rFonts w:hint="eastAsia"/>
          <w:sz w:val="24"/>
          <w:szCs w:val="24"/>
        </w:rPr>
        <w:t>（2）提供至项目验收之日起</w:t>
      </w:r>
      <w:r>
        <w:rPr>
          <w:rFonts w:hint="eastAsia"/>
          <w:b/>
          <w:bCs/>
          <w:sz w:val="24"/>
          <w:szCs w:val="24"/>
        </w:rPr>
        <w:t>叁年</w:t>
      </w:r>
      <w:r>
        <w:rPr>
          <w:rFonts w:hint="eastAsia"/>
          <w:sz w:val="24"/>
          <w:szCs w:val="24"/>
        </w:rPr>
        <w:t>运行维护服务。维护服务期内提供对全院所有自助终端和系统进行日常维护服务和故障处理及定期巡检等。相关费用已含在此次项目报价中，采购人不再另行支付。</w:t>
      </w:r>
    </w:p>
    <w:p w14:paraId="43D955BA">
      <w:pPr>
        <w:spacing w:line="360" w:lineRule="auto"/>
        <w:rPr>
          <w:rFonts w:hint="eastAsia"/>
          <w:sz w:val="24"/>
          <w:szCs w:val="24"/>
        </w:rPr>
      </w:pPr>
      <w:r>
        <w:rPr>
          <w:rFonts w:hint="eastAsia"/>
          <w:sz w:val="24"/>
          <w:szCs w:val="24"/>
        </w:rPr>
        <w:t>（3）维护服务期内，提供7*24小时的售后服务支持，工作日的工作时间要求接到报修通知后15分钟内响应并进行故障了解和处理。需要到现场处理的故障平均不超过4小时内解决；非工作日的工作时间则要求在接到报修通知后，</w:t>
      </w:r>
      <w:r>
        <w:rPr>
          <w:sz w:val="24"/>
          <w:szCs w:val="24"/>
        </w:rPr>
        <w:t>8</w:t>
      </w:r>
      <w:r>
        <w:rPr>
          <w:rFonts w:hint="eastAsia"/>
          <w:sz w:val="24"/>
          <w:szCs w:val="24"/>
        </w:rPr>
        <w:t>个小时内到达故障现场进行处理，现场能处理的故障平均不超过2小时内解决。非现场能处理的故障并且不需送院外维修的，</w:t>
      </w:r>
      <w:r>
        <w:rPr>
          <w:sz w:val="24"/>
          <w:szCs w:val="24"/>
        </w:rPr>
        <w:t>2</w:t>
      </w:r>
      <w:r>
        <w:rPr>
          <w:rFonts w:hint="eastAsia"/>
          <w:sz w:val="24"/>
          <w:szCs w:val="24"/>
        </w:rPr>
        <w:t>个工作日之内维修好；判断为硬件故障的，需要送院外（第三方维修除外）维修的，最多不超过</w:t>
      </w:r>
      <w:r>
        <w:rPr>
          <w:sz w:val="24"/>
          <w:szCs w:val="24"/>
        </w:rPr>
        <w:t>5</w:t>
      </w:r>
      <w:r>
        <w:rPr>
          <w:rFonts w:hint="eastAsia"/>
          <w:sz w:val="24"/>
          <w:szCs w:val="24"/>
        </w:rPr>
        <w:t>个工作日修好送回；</w:t>
      </w:r>
    </w:p>
    <w:p w14:paraId="03BA9684">
      <w:pPr>
        <w:spacing w:line="360" w:lineRule="auto"/>
        <w:rPr>
          <w:rFonts w:hint="eastAsia"/>
          <w:sz w:val="24"/>
          <w:szCs w:val="24"/>
        </w:rPr>
      </w:pPr>
      <w:r>
        <w:rPr>
          <w:rFonts w:hint="eastAsia"/>
          <w:sz w:val="24"/>
          <w:szCs w:val="24"/>
        </w:rPr>
        <w:t>（4）每季度进行不少于一次巡检和硬件设备的卫生清理保养；提交一次维护服务报告，对设备的维修保养情况、修复情况、常见故障、注意事项等同时向医院提交报告。</w:t>
      </w:r>
    </w:p>
    <w:p w14:paraId="282D068B">
      <w:pPr>
        <w:pStyle w:val="9"/>
        <w:spacing w:before="0" w:after="0" w:line="360" w:lineRule="auto"/>
        <w:ind w:firstLine="520"/>
        <w:rPr>
          <w:rFonts w:hint="eastAsia"/>
          <w:szCs w:val="24"/>
        </w:rPr>
      </w:pPr>
      <w:r>
        <w:rPr>
          <w:rFonts w:hint="eastAsia"/>
          <w:szCs w:val="24"/>
        </w:rPr>
        <w:t>（</w:t>
      </w:r>
      <w:r>
        <w:rPr>
          <w:szCs w:val="24"/>
        </w:rPr>
        <w:t>5</w:t>
      </w:r>
      <w:r>
        <w:rPr>
          <w:rFonts w:hint="eastAsia"/>
          <w:szCs w:val="24"/>
        </w:rPr>
        <w:t>）保修期内，所有设备维修服务均为上门服务，由此产生的费用成交人均不再收取。</w:t>
      </w:r>
    </w:p>
    <w:p w14:paraId="6260CC00">
      <w:pPr>
        <w:pStyle w:val="9"/>
        <w:spacing w:before="0" w:after="0" w:line="360" w:lineRule="auto"/>
        <w:ind w:firstLine="520"/>
        <w:rPr>
          <w:rFonts w:hint="eastAsia"/>
          <w:szCs w:val="24"/>
        </w:rPr>
      </w:pPr>
      <w:r>
        <w:rPr>
          <w:rFonts w:hint="eastAsia"/>
          <w:szCs w:val="24"/>
        </w:rPr>
        <w:t>（</w:t>
      </w:r>
      <w:r>
        <w:rPr>
          <w:szCs w:val="24"/>
        </w:rPr>
        <w:t>6</w:t>
      </w:r>
      <w:r>
        <w:rPr>
          <w:rFonts w:hint="eastAsia"/>
          <w:szCs w:val="24"/>
        </w:rPr>
        <w:t>）保修期内，成交人应设统一保修服务电话及固定的联系人。</w:t>
      </w:r>
    </w:p>
    <w:p w14:paraId="367EFD1C">
      <w:pPr>
        <w:pStyle w:val="8"/>
        <w:spacing w:line="360" w:lineRule="auto"/>
        <w:ind w:firstLine="0" w:firstLineChars="0"/>
        <w:rPr>
          <w:rFonts w:hint="eastAsia"/>
          <w:b/>
          <w:bCs/>
          <w:sz w:val="24"/>
          <w:szCs w:val="24"/>
        </w:rPr>
      </w:pPr>
      <w:r>
        <w:rPr>
          <w:rFonts w:hint="eastAsia"/>
          <w:b/>
          <w:bCs/>
          <w:sz w:val="24"/>
          <w:szCs w:val="24"/>
        </w:rPr>
        <w:t>4、设备安装、测试及验收要求</w:t>
      </w:r>
    </w:p>
    <w:p w14:paraId="40C0DE3C">
      <w:pPr>
        <w:spacing w:line="360" w:lineRule="auto"/>
        <w:rPr>
          <w:rFonts w:hint="eastAsia"/>
          <w:sz w:val="24"/>
          <w:szCs w:val="24"/>
        </w:rPr>
      </w:pPr>
      <w:r>
        <w:rPr>
          <w:sz w:val="24"/>
          <w:szCs w:val="24"/>
        </w:rPr>
        <w:t>4</w:t>
      </w:r>
      <w:r>
        <w:rPr>
          <w:rFonts w:hint="eastAsia"/>
          <w:sz w:val="24"/>
          <w:szCs w:val="24"/>
        </w:rPr>
        <w:t>.1设备安装</w:t>
      </w:r>
    </w:p>
    <w:p w14:paraId="421A6D14">
      <w:pPr>
        <w:spacing w:line="360" w:lineRule="auto"/>
        <w:rPr>
          <w:rFonts w:hint="eastAsia"/>
          <w:sz w:val="24"/>
          <w:szCs w:val="24"/>
        </w:rPr>
      </w:pPr>
      <w:r>
        <w:rPr>
          <w:rFonts w:hint="eastAsia"/>
          <w:sz w:val="24"/>
          <w:szCs w:val="24"/>
        </w:rPr>
        <w:t>成交人须向采购人提供本项目采购的所有硬件的安装和维护服务的全部内容，并在需要的时候配合采购人单位完成整个系统的网络联调工作。若本项目采购的设备产品等方面的配置或要求中出现不合理或不完整的问题时，成交人有责任和义务在响应文件中提出补充修改方案并征得采购人同意后付诸实施。</w:t>
      </w:r>
    </w:p>
    <w:p w14:paraId="0AD76479">
      <w:pPr>
        <w:spacing w:line="360" w:lineRule="auto"/>
        <w:rPr>
          <w:rFonts w:hint="eastAsia"/>
          <w:sz w:val="24"/>
          <w:szCs w:val="24"/>
        </w:rPr>
      </w:pPr>
      <w:r>
        <w:rPr>
          <w:rFonts w:hint="eastAsia"/>
          <w:sz w:val="24"/>
          <w:szCs w:val="24"/>
        </w:rPr>
        <w:t>对响应人要求：</w:t>
      </w:r>
    </w:p>
    <w:p w14:paraId="04361F06">
      <w:pPr>
        <w:spacing w:line="360" w:lineRule="auto"/>
        <w:rPr>
          <w:rFonts w:hint="eastAsia"/>
          <w:sz w:val="24"/>
          <w:szCs w:val="24"/>
        </w:rPr>
      </w:pPr>
      <w:r>
        <w:rPr>
          <w:sz w:val="24"/>
          <w:szCs w:val="24"/>
        </w:rPr>
        <w:t>4</w:t>
      </w:r>
      <w:r>
        <w:rPr>
          <w:rFonts w:hint="eastAsia"/>
          <w:sz w:val="24"/>
          <w:szCs w:val="24"/>
        </w:rPr>
        <w:t>.1.1要求响应人须具有良好信誉和相关实力的技术队伍。</w:t>
      </w:r>
    </w:p>
    <w:p w14:paraId="2B50CAF9">
      <w:pPr>
        <w:spacing w:line="360" w:lineRule="auto"/>
        <w:rPr>
          <w:rFonts w:hint="eastAsia"/>
          <w:sz w:val="24"/>
          <w:szCs w:val="24"/>
        </w:rPr>
      </w:pPr>
      <w:r>
        <w:rPr>
          <w:sz w:val="24"/>
          <w:szCs w:val="24"/>
        </w:rPr>
        <w:t>4</w:t>
      </w:r>
      <w:r>
        <w:rPr>
          <w:rFonts w:hint="eastAsia"/>
          <w:sz w:val="24"/>
          <w:szCs w:val="24"/>
        </w:rPr>
        <w:t>.1.2响应人应本着认真负责态度，组织技术队伍，做好响应的整体方案，并书面提出长期保修、维护、服务以及今后技术支持的措施计划和承诺。</w:t>
      </w:r>
    </w:p>
    <w:p w14:paraId="55878939">
      <w:pPr>
        <w:spacing w:line="360" w:lineRule="auto"/>
        <w:rPr>
          <w:rFonts w:hint="eastAsia"/>
          <w:sz w:val="24"/>
          <w:szCs w:val="24"/>
        </w:rPr>
      </w:pPr>
      <w:r>
        <w:rPr>
          <w:sz w:val="24"/>
          <w:szCs w:val="24"/>
        </w:rPr>
        <w:t>4</w:t>
      </w:r>
      <w:r>
        <w:rPr>
          <w:rFonts w:hint="eastAsia"/>
          <w:sz w:val="24"/>
          <w:szCs w:val="24"/>
        </w:rPr>
        <w:t>.1.3安装调试在设备到货后7个工作日内配合采购人按实施进度计划完成设备安装调试。</w:t>
      </w:r>
    </w:p>
    <w:p w14:paraId="4BA83695">
      <w:pPr>
        <w:spacing w:line="360" w:lineRule="auto"/>
        <w:rPr>
          <w:rFonts w:hint="eastAsia"/>
          <w:sz w:val="24"/>
          <w:szCs w:val="24"/>
        </w:rPr>
      </w:pPr>
      <w:r>
        <w:rPr>
          <w:sz w:val="24"/>
          <w:szCs w:val="24"/>
        </w:rPr>
        <w:t>4</w:t>
      </w:r>
      <w:r>
        <w:rPr>
          <w:rFonts w:hint="eastAsia"/>
          <w:sz w:val="24"/>
          <w:szCs w:val="24"/>
        </w:rPr>
        <w:t>.1.4所有设备均须由响应人送货上门并安装调试。采购人不再支付任何费用。</w:t>
      </w:r>
    </w:p>
    <w:p w14:paraId="0F42DB08">
      <w:pPr>
        <w:spacing w:line="360" w:lineRule="auto"/>
        <w:rPr>
          <w:rFonts w:hint="eastAsia"/>
          <w:sz w:val="24"/>
          <w:szCs w:val="24"/>
        </w:rPr>
      </w:pPr>
      <w:r>
        <w:rPr>
          <w:sz w:val="24"/>
          <w:szCs w:val="24"/>
        </w:rPr>
        <w:t>4</w:t>
      </w:r>
      <w:r>
        <w:rPr>
          <w:rFonts w:hint="eastAsia"/>
          <w:sz w:val="24"/>
          <w:szCs w:val="24"/>
        </w:rPr>
        <w:t>.1.5自系统安装工作一开始，响应人应允许采购人的工作人员一起参与系统的安装、测试、诊断及解决遇到的问题等各项工作。</w:t>
      </w:r>
    </w:p>
    <w:p w14:paraId="12D980C6">
      <w:pPr>
        <w:spacing w:line="360" w:lineRule="auto"/>
        <w:rPr>
          <w:rFonts w:hint="eastAsia"/>
          <w:sz w:val="24"/>
          <w:szCs w:val="24"/>
        </w:rPr>
      </w:pPr>
      <w:r>
        <w:rPr>
          <w:sz w:val="24"/>
          <w:szCs w:val="24"/>
        </w:rPr>
        <w:t>4</w:t>
      </w:r>
      <w:r>
        <w:rPr>
          <w:rFonts w:hint="eastAsia"/>
          <w:sz w:val="24"/>
          <w:szCs w:val="24"/>
        </w:rPr>
        <w:t>.2测试和验收</w:t>
      </w:r>
    </w:p>
    <w:p w14:paraId="3D2DEE9E">
      <w:pPr>
        <w:spacing w:line="360" w:lineRule="auto"/>
        <w:rPr>
          <w:rFonts w:hint="eastAsia"/>
          <w:sz w:val="24"/>
          <w:szCs w:val="24"/>
        </w:rPr>
      </w:pPr>
      <w:r>
        <w:rPr>
          <w:rFonts w:hint="eastAsia"/>
          <w:sz w:val="24"/>
          <w:szCs w:val="24"/>
        </w:rPr>
        <w:t>成交人应根据所提交的验收方案和实施办法，由采购人自行组织相关人员连同成交人双方人员在现场进行测试和验收。</w:t>
      </w:r>
    </w:p>
    <w:p w14:paraId="2627F034">
      <w:pPr>
        <w:spacing w:line="360" w:lineRule="auto"/>
        <w:rPr>
          <w:rFonts w:hint="eastAsia"/>
          <w:sz w:val="24"/>
          <w:szCs w:val="24"/>
        </w:rPr>
      </w:pPr>
      <w:r>
        <w:rPr>
          <w:sz w:val="24"/>
          <w:szCs w:val="24"/>
        </w:rPr>
        <w:t>4</w:t>
      </w:r>
      <w:r>
        <w:rPr>
          <w:rFonts w:hint="eastAsia"/>
          <w:sz w:val="24"/>
          <w:szCs w:val="24"/>
        </w:rPr>
        <w:t>.2.1开箱检验</w:t>
      </w:r>
    </w:p>
    <w:p w14:paraId="6536B555">
      <w:pPr>
        <w:spacing w:line="360" w:lineRule="auto"/>
        <w:rPr>
          <w:rFonts w:hint="eastAsia"/>
          <w:sz w:val="24"/>
          <w:szCs w:val="24"/>
        </w:rPr>
      </w:pPr>
      <w:r>
        <w:rPr>
          <w:rFonts w:hint="eastAsia"/>
          <w:sz w:val="24"/>
          <w:szCs w:val="24"/>
        </w:rPr>
        <w:t>（1）所有设备、器材在开箱时必须完好，无破损。配置与装箱单相符。数量、质量及性能不低于合同要求。</w:t>
      </w:r>
    </w:p>
    <w:p w14:paraId="7ED771CA">
      <w:pPr>
        <w:spacing w:line="360" w:lineRule="auto"/>
        <w:rPr>
          <w:rFonts w:hint="eastAsia"/>
          <w:sz w:val="24"/>
          <w:szCs w:val="24"/>
        </w:rPr>
      </w:pPr>
      <w:r>
        <w:rPr>
          <w:rFonts w:hint="eastAsia"/>
          <w:sz w:val="24"/>
          <w:szCs w:val="24"/>
        </w:rPr>
        <w:t>（2）拆箱后，成交人应对其全部产品、零件、配件、用户许可证书、资料、介质造册登记，并与装箱单对比，如有出入应立即书面记录，由成交人解决，如影响安装则按合同有关条款处理。登记册作为验收文档之一。</w:t>
      </w:r>
    </w:p>
    <w:p w14:paraId="2A355283">
      <w:pPr>
        <w:spacing w:line="360" w:lineRule="auto"/>
        <w:rPr>
          <w:rFonts w:hint="eastAsia"/>
          <w:sz w:val="24"/>
          <w:szCs w:val="24"/>
        </w:rPr>
      </w:pPr>
      <w:r>
        <w:rPr>
          <w:sz w:val="24"/>
          <w:szCs w:val="24"/>
        </w:rPr>
        <w:t>4</w:t>
      </w:r>
      <w:r>
        <w:rPr>
          <w:rFonts w:hint="eastAsia"/>
          <w:sz w:val="24"/>
          <w:szCs w:val="24"/>
        </w:rPr>
        <w:t>.2.2系统测试</w:t>
      </w:r>
    </w:p>
    <w:p w14:paraId="5AAB3671">
      <w:pPr>
        <w:spacing w:line="360" w:lineRule="auto"/>
        <w:rPr>
          <w:rFonts w:hint="eastAsia"/>
          <w:sz w:val="24"/>
          <w:szCs w:val="24"/>
        </w:rPr>
      </w:pPr>
      <w:r>
        <w:rPr>
          <w:rFonts w:hint="eastAsia"/>
          <w:sz w:val="24"/>
          <w:szCs w:val="24"/>
        </w:rPr>
        <w:t>系统安装完成后，按照系统要求的基本功能逐一测试。</w:t>
      </w:r>
    </w:p>
    <w:p w14:paraId="7554787F">
      <w:pPr>
        <w:spacing w:line="360" w:lineRule="auto"/>
        <w:rPr>
          <w:rFonts w:hint="eastAsia"/>
          <w:sz w:val="24"/>
          <w:szCs w:val="24"/>
        </w:rPr>
      </w:pPr>
      <w:r>
        <w:rPr>
          <w:rFonts w:hint="eastAsia"/>
          <w:sz w:val="24"/>
          <w:szCs w:val="24"/>
        </w:rPr>
        <w:t>（1）单项测试：单项产品安装完成后，由成交人进行产品自身性能的测试。设备通电测试应单台进行，所有设备通电自检正常后，才能相互联机。</w:t>
      </w:r>
    </w:p>
    <w:p w14:paraId="449F8C1C">
      <w:pPr>
        <w:spacing w:line="360" w:lineRule="auto"/>
        <w:rPr>
          <w:rFonts w:hint="eastAsia"/>
          <w:sz w:val="24"/>
          <w:szCs w:val="24"/>
        </w:rPr>
      </w:pPr>
      <w:r>
        <w:rPr>
          <w:rFonts w:hint="eastAsia"/>
          <w:sz w:val="24"/>
          <w:szCs w:val="24"/>
        </w:rPr>
        <w:t>（2）网络联机测试：网络系统安装完成后，由成交人和采购人单位对所有采购的产品进行联网运行，并进行相应的联机测试。</w:t>
      </w:r>
    </w:p>
    <w:p w14:paraId="37CEDE45">
      <w:pPr>
        <w:spacing w:line="360" w:lineRule="auto"/>
        <w:rPr>
          <w:rFonts w:hint="eastAsia"/>
          <w:sz w:val="24"/>
          <w:szCs w:val="24"/>
        </w:rPr>
      </w:pPr>
      <w:r>
        <w:rPr>
          <w:rFonts w:hint="eastAsia"/>
          <w:sz w:val="24"/>
          <w:szCs w:val="24"/>
        </w:rPr>
        <w:t>（3）系统运行正常，联机测试通过。</w:t>
      </w:r>
    </w:p>
    <w:p w14:paraId="1631DD94">
      <w:pPr>
        <w:spacing w:line="360" w:lineRule="auto"/>
        <w:rPr>
          <w:rFonts w:hint="eastAsia"/>
          <w:sz w:val="24"/>
          <w:szCs w:val="24"/>
        </w:rPr>
      </w:pPr>
      <w:r>
        <w:rPr>
          <w:rFonts w:hint="eastAsia"/>
          <w:sz w:val="24"/>
          <w:szCs w:val="24"/>
        </w:rPr>
        <w:t>（4）如商检或系统测试中发现设备性能指标或功能上不符合标书和合同时，将被看作性能不合格，采购人单位有权拒收并要求赔偿。</w:t>
      </w:r>
    </w:p>
    <w:p w14:paraId="120E2872">
      <w:pPr>
        <w:spacing w:line="360" w:lineRule="auto"/>
        <w:rPr>
          <w:rFonts w:hint="eastAsia"/>
          <w:sz w:val="24"/>
          <w:szCs w:val="24"/>
        </w:rPr>
      </w:pPr>
      <w:r>
        <w:rPr>
          <w:rFonts w:hint="eastAsia"/>
          <w:sz w:val="24"/>
          <w:szCs w:val="24"/>
        </w:rPr>
        <w:t>（5）成交人应负责在项目验收时将系统的全部有关产品说明书、原厂家安装手册、技术文件、资料、及安装、验收报告等文档交付设备使用单位。</w:t>
      </w:r>
    </w:p>
    <w:p w14:paraId="4432614D">
      <w:pPr>
        <w:spacing w:line="360" w:lineRule="auto"/>
        <w:rPr>
          <w:rFonts w:hint="eastAsia"/>
          <w:sz w:val="24"/>
          <w:szCs w:val="24"/>
        </w:rPr>
      </w:pPr>
      <w:r>
        <w:rPr>
          <w:sz w:val="24"/>
          <w:szCs w:val="24"/>
        </w:rPr>
        <w:t>4</w:t>
      </w:r>
      <w:r>
        <w:rPr>
          <w:rFonts w:hint="eastAsia"/>
          <w:sz w:val="24"/>
          <w:szCs w:val="24"/>
        </w:rPr>
        <w:t>.2.3系统试运行阶段</w:t>
      </w:r>
    </w:p>
    <w:p w14:paraId="5BCB902D">
      <w:pPr>
        <w:spacing w:line="360" w:lineRule="auto"/>
        <w:rPr>
          <w:rFonts w:hint="eastAsia"/>
          <w:sz w:val="24"/>
          <w:szCs w:val="24"/>
        </w:rPr>
      </w:pPr>
      <w:r>
        <w:rPr>
          <w:rFonts w:hint="eastAsia"/>
          <w:sz w:val="24"/>
          <w:szCs w:val="24"/>
        </w:rPr>
        <w:t>系统测试完成后，由采购人组织医院科室进行为期一个自然月的试运行，试运行期间，设备稳定无故障方可进入项目终验阶段。</w:t>
      </w:r>
    </w:p>
    <w:p w14:paraId="2B66F9F2">
      <w:pPr>
        <w:spacing w:line="360" w:lineRule="auto"/>
        <w:rPr>
          <w:rFonts w:hint="eastAsia"/>
          <w:sz w:val="24"/>
          <w:szCs w:val="24"/>
        </w:rPr>
      </w:pPr>
      <w:r>
        <w:rPr>
          <w:sz w:val="24"/>
          <w:szCs w:val="24"/>
        </w:rPr>
        <w:t>4</w:t>
      </w:r>
      <w:r>
        <w:rPr>
          <w:rFonts w:hint="eastAsia"/>
          <w:sz w:val="24"/>
          <w:szCs w:val="24"/>
        </w:rPr>
        <w:t>.2.4验收要求</w:t>
      </w:r>
    </w:p>
    <w:p w14:paraId="288F8C76">
      <w:pPr>
        <w:spacing w:line="360" w:lineRule="auto"/>
        <w:rPr>
          <w:rFonts w:hint="eastAsia"/>
          <w:sz w:val="24"/>
          <w:szCs w:val="24"/>
        </w:rPr>
      </w:pPr>
      <w:r>
        <w:rPr>
          <w:rFonts w:hint="eastAsia"/>
          <w:sz w:val="24"/>
          <w:szCs w:val="24"/>
        </w:rPr>
        <w:t>（1）要求对全部设备、产品、型号、规格、数量、外型、外观、包装及资料、文件（如装箱单、保修单、随箱介质等）的验收。</w:t>
      </w:r>
    </w:p>
    <w:p w14:paraId="260C52A7">
      <w:pPr>
        <w:spacing w:line="360" w:lineRule="auto"/>
        <w:rPr>
          <w:rFonts w:hint="eastAsia"/>
          <w:sz w:val="24"/>
          <w:szCs w:val="24"/>
        </w:rPr>
      </w:pPr>
      <w:r>
        <w:rPr>
          <w:rFonts w:hint="eastAsia"/>
          <w:sz w:val="24"/>
          <w:szCs w:val="24"/>
        </w:rPr>
        <w:t>（2）成交人应负责在项目验收时将系统的全部有关产品说明书、原厂家安装手册、技术文件、资料、及安装、验收报告等文档汇集成册交付设备使用单位。</w:t>
      </w:r>
    </w:p>
    <w:p w14:paraId="41CB8498">
      <w:pPr>
        <w:pStyle w:val="3"/>
        <w:ind w:firstLine="482"/>
        <w:rPr>
          <w:rFonts w:hint="eastAsia"/>
        </w:rPr>
      </w:pPr>
      <w:r>
        <w:rPr>
          <w:rFonts w:hint="eastAsia"/>
        </w:rPr>
        <w:t>五、采购项目商务要求</w:t>
      </w:r>
    </w:p>
    <w:p w14:paraId="37AA9057">
      <w:pPr>
        <w:pStyle w:val="8"/>
        <w:spacing w:line="360" w:lineRule="auto"/>
        <w:ind w:firstLine="480"/>
        <w:rPr>
          <w:rFonts w:hint="eastAsia"/>
          <w:sz w:val="24"/>
          <w:szCs w:val="24"/>
        </w:rPr>
      </w:pPr>
      <w:r>
        <w:rPr>
          <w:rFonts w:hint="eastAsia"/>
          <w:sz w:val="24"/>
          <w:szCs w:val="24"/>
        </w:rPr>
        <w:t>1、经验要求：响应人企业在经营范围内报价，且近年来资信良好，履约能力强，没有违法记录。</w:t>
      </w:r>
    </w:p>
    <w:p w14:paraId="25701A45">
      <w:pPr>
        <w:pStyle w:val="8"/>
        <w:spacing w:line="360" w:lineRule="auto"/>
        <w:ind w:firstLine="480"/>
        <w:rPr>
          <w:rFonts w:hint="eastAsia"/>
          <w:sz w:val="24"/>
          <w:szCs w:val="24"/>
        </w:rPr>
      </w:pPr>
      <w:r>
        <w:rPr>
          <w:rFonts w:hint="eastAsia"/>
          <w:sz w:val="24"/>
          <w:szCs w:val="24"/>
        </w:rPr>
        <w:t>2、报价要求：响应人对本项目所有需求内容进行统一报价，</w:t>
      </w:r>
      <w:r>
        <w:rPr>
          <w:rFonts w:hint="eastAsia"/>
          <w:sz w:val="24"/>
          <w:szCs w:val="24"/>
          <w:lang w:val="zh-TW"/>
        </w:rPr>
        <w:t>报价应为完成“</w:t>
      </w:r>
      <w:r>
        <w:rPr>
          <w:rFonts w:hint="eastAsia"/>
          <w:sz w:val="24"/>
          <w:szCs w:val="24"/>
          <w:lang w:val="zh-CN"/>
        </w:rPr>
        <w:t>中山大学孙逸仙纪念医院</w:t>
      </w:r>
      <w:r>
        <w:rPr>
          <w:rFonts w:hint="eastAsia"/>
          <w:sz w:val="24"/>
          <w:szCs w:val="24"/>
        </w:rPr>
        <w:t>自助终端采购项目</w:t>
      </w:r>
      <w:r>
        <w:rPr>
          <w:rFonts w:hint="eastAsia"/>
          <w:sz w:val="24"/>
          <w:szCs w:val="24"/>
          <w:lang w:val="zh-TW"/>
        </w:rPr>
        <w:t>”所有可能发生的费用。</w:t>
      </w:r>
      <w:r>
        <w:rPr>
          <w:rFonts w:hint="eastAsia"/>
          <w:sz w:val="24"/>
          <w:szCs w:val="24"/>
        </w:rPr>
        <w:t>如果评审委员会发现供应商的报价明显低于其他通过符合性审查供应商的报价，有可能影响产品质量或者不能诚信履约的，供应商必须要出具详细的成本清单、包含供应商的利润分析、成本分析等，且经所有评委一致认可有效，否则按无效报价处理。</w:t>
      </w:r>
    </w:p>
    <w:p w14:paraId="58AC998A">
      <w:pPr>
        <w:pStyle w:val="8"/>
        <w:spacing w:line="360" w:lineRule="auto"/>
        <w:ind w:firstLine="480"/>
        <w:rPr>
          <w:rFonts w:hint="eastAsia"/>
          <w:sz w:val="24"/>
          <w:szCs w:val="24"/>
        </w:rPr>
      </w:pPr>
      <w:r>
        <w:rPr>
          <w:rFonts w:hint="eastAsia"/>
          <w:sz w:val="24"/>
          <w:szCs w:val="24"/>
        </w:rPr>
        <w:t>3、付款方式：</w:t>
      </w:r>
    </w:p>
    <w:p w14:paraId="708B201E">
      <w:pPr>
        <w:snapToGrid w:val="0"/>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由招标人按下列程序付款： </w:t>
      </w:r>
    </w:p>
    <w:p w14:paraId="245C08B3">
      <w:pPr>
        <w:autoSpaceDE w:val="0"/>
        <w:autoSpaceDN w:val="0"/>
        <w:adjustRightInd w:val="0"/>
        <w:snapToGrid w:val="0"/>
        <w:spacing w:line="360" w:lineRule="auto"/>
        <w:ind w:firstLine="480" w:firstLineChars="200"/>
        <w:rPr>
          <w:rFonts w:hint="eastAsia" w:ascii="宋体" w:hAnsi="宋体"/>
          <w:color w:val="000000"/>
          <w:kern w:val="21"/>
          <w:sz w:val="24"/>
          <w:szCs w:val="24"/>
        </w:rPr>
      </w:pPr>
      <w:r>
        <w:rPr>
          <w:rFonts w:hint="eastAsia" w:ascii="宋体" w:hAnsi="宋体"/>
          <w:color w:val="000000"/>
          <w:kern w:val="21"/>
          <w:sz w:val="24"/>
          <w:szCs w:val="24"/>
        </w:rPr>
        <w:t>本项目采用银医合作资金；支付分2个阶段由中国农业银行广州分行向中标人进行支付：</w:t>
      </w:r>
    </w:p>
    <w:p w14:paraId="79C680C8">
      <w:pPr>
        <w:spacing w:line="360" w:lineRule="auto"/>
        <w:ind w:firstLine="475" w:firstLineChars="198"/>
        <w:rPr>
          <w:rFonts w:hint="eastAsia" w:ascii="宋体" w:hAnsi="宋体" w:cs="宋体"/>
          <w:color w:val="000000"/>
          <w:sz w:val="24"/>
          <w:szCs w:val="24"/>
        </w:rPr>
      </w:pPr>
      <w:r>
        <w:rPr>
          <w:rFonts w:hint="eastAsia" w:ascii="宋体" w:hAnsi="宋体" w:cs="宋体"/>
          <w:color w:val="000000"/>
          <w:sz w:val="24"/>
          <w:szCs w:val="24"/>
        </w:rPr>
        <w:t>费用的支付分为2个阶段，第一阶段设备验收款项，占总价款95%；第二阶段为质量保证金（不计付利息），占总价款的5%，最终根据招标人考核评价结果支付相应部分款项。</w:t>
      </w:r>
    </w:p>
    <w:p w14:paraId="4F477CFB">
      <w:pPr>
        <w:spacing w:line="360" w:lineRule="auto"/>
        <w:ind w:firstLine="475" w:firstLineChars="198"/>
        <w:rPr>
          <w:rFonts w:hint="eastAsia" w:ascii="宋体" w:hAnsi="宋体" w:cs="宋体"/>
          <w:color w:val="000000"/>
          <w:sz w:val="24"/>
          <w:szCs w:val="24"/>
        </w:rPr>
      </w:pPr>
      <w:r>
        <w:rPr>
          <w:rFonts w:hint="eastAsia" w:ascii="宋体" w:hAnsi="宋体" w:cs="宋体"/>
          <w:color w:val="000000"/>
          <w:sz w:val="24"/>
          <w:szCs w:val="24"/>
        </w:rPr>
        <w:t>（1）设备验收款项，总价格占总价款的95%。</w:t>
      </w:r>
    </w:p>
    <w:p w14:paraId="04927AA2">
      <w:pPr>
        <w:spacing w:line="360" w:lineRule="auto"/>
        <w:ind w:firstLine="475" w:firstLineChars="198"/>
        <w:rPr>
          <w:rFonts w:hint="eastAsia" w:ascii="宋体" w:hAnsi="宋体" w:cs="宋体"/>
          <w:color w:val="000000"/>
          <w:sz w:val="24"/>
          <w:szCs w:val="24"/>
        </w:rPr>
      </w:pPr>
      <w:r>
        <w:rPr>
          <w:rFonts w:hint="eastAsia" w:ascii="宋体" w:hAnsi="宋体" w:cs="宋体"/>
          <w:color w:val="000000"/>
          <w:sz w:val="24"/>
          <w:szCs w:val="24"/>
        </w:rPr>
        <w:t>硬件设备验收通过且稳定运行一个月后，中标人向</w:t>
      </w:r>
      <w:r>
        <w:rPr>
          <w:rFonts w:hint="eastAsia" w:ascii="宋体" w:hAnsi="宋体"/>
          <w:color w:val="000000"/>
          <w:kern w:val="21"/>
          <w:sz w:val="24"/>
          <w:szCs w:val="24"/>
        </w:rPr>
        <w:t>中国农业银行广州分行</w:t>
      </w:r>
      <w:r>
        <w:rPr>
          <w:rFonts w:hint="eastAsia" w:ascii="宋体" w:hAnsi="宋体" w:cs="宋体"/>
          <w:color w:val="000000"/>
          <w:sz w:val="24"/>
          <w:szCs w:val="24"/>
        </w:rPr>
        <w:t>提出付款申请，招标人及农行考核评价部门审核无误后，按照下列依据支付合同款项：《到货阶段验收表》、《安装阶段验收表》、《硬件稳定运行阶段验收及付款申请表》等资料，于15个工作日内向中标人支付合同款项的95%。</w:t>
      </w:r>
    </w:p>
    <w:p w14:paraId="02775D57">
      <w:pPr>
        <w:spacing w:line="360" w:lineRule="auto"/>
        <w:ind w:firstLine="475" w:firstLineChars="198"/>
        <w:rPr>
          <w:rFonts w:hint="eastAsia" w:ascii="宋体" w:hAnsi="宋体" w:cs="宋体"/>
          <w:color w:val="000000"/>
          <w:sz w:val="24"/>
          <w:szCs w:val="24"/>
        </w:rPr>
      </w:pPr>
      <w:r>
        <w:rPr>
          <w:rFonts w:hint="eastAsia" w:ascii="宋体" w:hAnsi="宋体" w:cs="宋体"/>
          <w:color w:val="000000"/>
          <w:sz w:val="24"/>
          <w:szCs w:val="24"/>
        </w:rPr>
        <w:t>（2）质量保证金（不计付利息），总价格占总价款的5%。</w:t>
      </w:r>
    </w:p>
    <w:p w14:paraId="384486D5">
      <w:pPr>
        <w:spacing w:line="360" w:lineRule="auto"/>
        <w:ind w:firstLine="475" w:firstLineChars="198"/>
        <w:rPr>
          <w:rFonts w:hint="eastAsia" w:ascii="宋体" w:hAnsi="宋体" w:cs="宋体"/>
          <w:color w:val="000000"/>
          <w:sz w:val="24"/>
          <w:szCs w:val="24"/>
        </w:rPr>
      </w:pPr>
      <w:r>
        <w:rPr>
          <w:rFonts w:hint="eastAsia" w:ascii="宋体" w:hAnsi="宋体" w:cs="宋体"/>
          <w:color w:val="000000"/>
          <w:sz w:val="24"/>
          <w:szCs w:val="24"/>
        </w:rPr>
        <w:t>免费质保期满后，中标人向</w:t>
      </w:r>
      <w:r>
        <w:rPr>
          <w:rFonts w:hint="eastAsia" w:ascii="宋体" w:hAnsi="宋体"/>
          <w:color w:val="000000"/>
          <w:kern w:val="21"/>
          <w:sz w:val="24"/>
          <w:szCs w:val="24"/>
        </w:rPr>
        <w:t>中国农业银行广州分行</w:t>
      </w:r>
      <w:r>
        <w:rPr>
          <w:rFonts w:hint="eastAsia" w:ascii="宋体" w:hAnsi="宋体" w:cs="宋体"/>
          <w:color w:val="000000"/>
          <w:sz w:val="24"/>
          <w:szCs w:val="24"/>
        </w:rPr>
        <w:t>提出付款申请，招标人及农行考核评价部门审核无误后，按照下列依据支付合同款项：《维保阶段验收及付款申请表》等资料，于15个工作日内向中标人支付合同价款的5%。</w:t>
      </w:r>
    </w:p>
    <w:bookmarkEnd w:id="0"/>
    <w:p w14:paraId="37F56403">
      <w:pPr>
        <w:pStyle w:val="3"/>
        <w:ind w:firstLine="482"/>
        <w:rPr>
          <w:rFonts w:hint="eastAsia"/>
        </w:rPr>
      </w:pPr>
      <w:r>
        <w:rPr>
          <w:rFonts w:hint="eastAsia"/>
        </w:rPr>
        <w:t>六、违约责任：</w:t>
      </w:r>
    </w:p>
    <w:p w14:paraId="5C0A8E45">
      <w:pPr>
        <w:spacing w:line="360" w:lineRule="auto"/>
        <w:ind w:firstLine="480" w:firstLineChars="200"/>
        <w:rPr>
          <w:rFonts w:hint="eastAsia"/>
          <w:sz w:val="24"/>
          <w:szCs w:val="24"/>
        </w:rPr>
      </w:pPr>
      <w:r>
        <w:rPr>
          <w:rFonts w:hint="eastAsia"/>
          <w:sz w:val="24"/>
          <w:szCs w:val="24"/>
        </w:rPr>
        <w:t>1、成交人提供的“门诊业务一体机和自助售卖病例机系列产品</w:t>
      </w:r>
      <w:r>
        <w:rPr>
          <w:rFonts w:hint="eastAsia"/>
          <w:bCs/>
          <w:sz w:val="24"/>
          <w:szCs w:val="24"/>
        </w:rPr>
        <w:fldChar w:fldCharType="begin"/>
      </w:r>
      <w:r>
        <w:rPr>
          <w:rFonts w:hint="eastAsia"/>
          <w:bCs/>
          <w:sz w:val="24"/>
          <w:szCs w:val="24"/>
        </w:rPr>
        <w:instrText xml:space="preserve"> DOCVARIABLE  项目名称  \* MERGEFORMAT </w:instrText>
      </w:r>
      <w:r>
        <w:rPr>
          <w:rFonts w:hint="eastAsia"/>
          <w:bCs/>
          <w:sz w:val="24"/>
          <w:szCs w:val="24"/>
        </w:rPr>
        <w:fldChar w:fldCharType="end"/>
      </w:r>
      <w:r>
        <w:rPr>
          <w:rFonts w:hint="eastAsia"/>
          <w:sz w:val="24"/>
          <w:szCs w:val="24"/>
        </w:rPr>
        <w:t>”（以下简称货物）不符合合同规定、约定或要求，给采购人造成损失的，成交人应当赔偿损失（赔偿金为合同总价的5%）。</w:t>
      </w:r>
    </w:p>
    <w:p w14:paraId="1C00DC56">
      <w:pPr>
        <w:pStyle w:val="8"/>
        <w:spacing w:line="360" w:lineRule="auto"/>
        <w:ind w:firstLine="480"/>
        <w:rPr>
          <w:rFonts w:hint="eastAsia"/>
          <w:sz w:val="24"/>
          <w:szCs w:val="24"/>
        </w:rPr>
      </w:pPr>
      <w:r>
        <w:rPr>
          <w:rFonts w:hint="eastAsia"/>
          <w:sz w:val="24"/>
          <w:szCs w:val="24"/>
        </w:rPr>
        <w:t>2、如果成交人未能按合同约定的时间、地点提供货物的，采购人可视情况要求成交人支付违约金，无故推迟交货者，每拖延一天须向采购人支付合同金额的5‰的违约金（违约金的最高限额为合同总价的10%），直至交付指定货物为止；成交人违约未能提供货物的，违约金为合同金额的10%。</w:t>
      </w:r>
    </w:p>
    <w:p w14:paraId="68119EF7">
      <w:pPr>
        <w:pStyle w:val="8"/>
        <w:spacing w:line="360" w:lineRule="auto"/>
        <w:ind w:firstLine="480"/>
        <w:rPr>
          <w:rFonts w:hint="eastAsia"/>
          <w:sz w:val="24"/>
          <w:szCs w:val="24"/>
        </w:rPr>
      </w:pPr>
      <w:r>
        <w:rPr>
          <w:rFonts w:hint="eastAsia"/>
          <w:sz w:val="24"/>
          <w:szCs w:val="24"/>
        </w:rPr>
        <w:t>成交人在支付违约金后，还应当履行应尽的义务。若违约金不足以弥补采购人损失的，采购人有权责令成交人另行赔偿损失。</w:t>
      </w:r>
    </w:p>
    <w:p w14:paraId="070C4DC3">
      <w:pPr>
        <w:pStyle w:val="8"/>
        <w:spacing w:line="360" w:lineRule="auto"/>
        <w:ind w:firstLine="480"/>
        <w:rPr>
          <w:rFonts w:hint="eastAsia"/>
          <w:sz w:val="24"/>
          <w:szCs w:val="24"/>
        </w:rPr>
      </w:pPr>
      <w:r>
        <w:rPr>
          <w:rFonts w:hint="eastAsia"/>
          <w:sz w:val="24"/>
          <w:szCs w:val="24"/>
        </w:rPr>
        <w:t>成交人不能按照合同约定提供货物或无正当理由不供货，给采购人造成损失的，成交人应承担全部责任，对采购人造成损失作出赔偿；严重者采购人有权以书面形式通知成交人终止合同。</w:t>
      </w:r>
    </w:p>
    <w:p w14:paraId="22D6756A">
      <w:pPr>
        <w:pStyle w:val="8"/>
        <w:spacing w:line="360" w:lineRule="auto"/>
        <w:ind w:firstLine="480"/>
      </w:pPr>
      <w:r>
        <w:rPr>
          <w:rFonts w:hint="eastAsia"/>
          <w:sz w:val="24"/>
          <w:szCs w:val="24"/>
        </w:rPr>
        <w:t>3、如果采购人发出赔偿通知后30天内，响应人未作答复，上述赔偿应视为被成交人接受。采购人将依据合同约定向成交人追讨赔偿。</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4073EE"/>
    <w:multiLevelType w:val="singleLevel"/>
    <w:tmpl w:val="FB4073EE"/>
    <w:lvl w:ilvl="0" w:tentative="0">
      <w:start w:val="3"/>
      <w:numFmt w:val="chineseCounting"/>
      <w:suff w:val="nothing"/>
      <w:lvlText w:val="%1、"/>
      <w:lvlJc w:val="left"/>
      <w:rPr>
        <w:rFonts w:hint="eastAsia"/>
      </w:rPr>
    </w:lvl>
  </w:abstractNum>
  <w:abstractNum w:abstractNumId="1">
    <w:nsid w:val="41023AB3"/>
    <w:multiLevelType w:val="multilevel"/>
    <w:tmpl w:val="41023AB3"/>
    <w:lvl w:ilvl="0" w:tentative="0">
      <w:start w:val="1"/>
      <w:numFmt w:val="decimal"/>
      <w:lvlText w:val="%1"/>
      <w:lvlJc w:val="left"/>
      <w:pPr>
        <w:ind w:left="420" w:hanging="420"/>
      </w:pPr>
      <w:rPr>
        <w:rFonts w:hint="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4F81EBF"/>
    <w:multiLevelType w:val="multilevel"/>
    <w:tmpl w:val="44F81EBF"/>
    <w:lvl w:ilvl="0" w:tentative="0">
      <w:start w:val="1"/>
      <w:numFmt w:val="decimal"/>
      <w:lvlText w:val="%1"/>
      <w:lvlJc w:val="left"/>
      <w:pPr>
        <w:ind w:left="420" w:hanging="420"/>
      </w:pPr>
      <w:rPr>
        <w:rFonts w:hint="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1D63D1"/>
    <w:rsid w:val="36A4448D"/>
    <w:rsid w:val="4EBB043F"/>
    <w:rsid w:val="583A4E91"/>
    <w:rsid w:val="5B1D63D1"/>
    <w:rsid w:val="75963592"/>
    <w:rsid w:val="7FCC0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仿宋" w:hAnsi="仿宋" w:eastAsia="仿宋" w:cs="仿宋"/>
      <w:lang w:val="en-US" w:eastAsia="zh-CN" w:bidi="ar-SA"/>
    </w:rPr>
  </w:style>
  <w:style w:type="paragraph" w:styleId="2">
    <w:name w:val="heading 1"/>
    <w:basedOn w:val="1"/>
    <w:next w:val="1"/>
    <w:qFormat/>
    <w:uiPriority w:val="0"/>
    <w:pPr>
      <w:keepNext/>
      <w:keepLines/>
      <w:spacing w:line="360" w:lineRule="auto"/>
      <w:jc w:val="center"/>
      <w:outlineLvl w:val="0"/>
    </w:pPr>
    <w:rPr>
      <w:b/>
      <w:bCs/>
      <w:color w:val="000000"/>
      <w:kern w:val="44"/>
      <w:sz w:val="32"/>
      <w:szCs w:val="32"/>
    </w:rPr>
  </w:style>
  <w:style w:type="paragraph" w:styleId="3">
    <w:name w:val="heading 2"/>
    <w:basedOn w:val="1"/>
    <w:next w:val="1"/>
    <w:qFormat/>
    <w:uiPriority w:val="0"/>
    <w:pPr>
      <w:keepNext/>
      <w:keepLines/>
      <w:spacing w:line="360" w:lineRule="auto"/>
      <w:outlineLvl w:val="1"/>
    </w:pPr>
    <w:rPr>
      <w:b/>
      <w:bCs/>
      <w:sz w:val="24"/>
      <w:szCs w:val="2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99"/>
    <w:rPr>
      <w:sz w:val="24"/>
      <w:szCs w:val="24"/>
    </w:rPr>
  </w:style>
  <w:style w:type="paragraph" w:customStyle="1" w:styleId="8">
    <w:name w:val="_Style 3"/>
    <w:basedOn w:val="1"/>
    <w:qFormat/>
    <w:uiPriority w:val="0"/>
    <w:pPr>
      <w:adjustRightInd w:val="0"/>
      <w:snapToGrid w:val="0"/>
      <w:spacing w:line="360" w:lineRule="exact"/>
      <w:ind w:firstLine="482" w:firstLineChars="200"/>
      <w:jc w:val="both"/>
    </w:pPr>
  </w:style>
  <w:style w:type="paragraph" w:customStyle="1" w:styleId="9">
    <w:name w:val="表格文字"/>
    <w:basedOn w:val="1"/>
    <w:qFormat/>
    <w:uiPriority w:val="0"/>
    <w:pPr>
      <w:spacing w:before="25" w:after="25"/>
    </w:pPr>
    <w:rPr>
      <w:bCs/>
      <w:spacing w:val="1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1360</Words>
  <Characters>1617</Characters>
  <Lines>0</Lines>
  <Paragraphs>0</Paragraphs>
  <TotalTime>13</TotalTime>
  <ScaleCrop>false</ScaleCrop>
  <LinksUpToDate>false</LinksUpToDate>
  <CharactersWithSpaces>1637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2025-11-10T02:40:00Z</dcterms:created>
  <dc:creator>广东华伦-黄茜怡</dc:creator>
  <cp:lastModifiedBy>广东华伦-黄茜怡</cp:lastModifiedBy>
  <dcterms:modified xsi:type="dcterms:W3CDTF">2025-11-10T06:33:33Z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B99B0D60ADBF4FA28212EC4644E5712E_11</vt:lpwstr>
  </property>
  <property fmtid="{D5CDD505-2E9C-101B-9397-08002B2CF9AE}" pid="4" name="KSOTemplateDocerSaveRecord">
    <vt:lpwstr>eyJoZGlkIjoiMDAxNjIxMzc0ZDQ3YjM4M2E2ZTY4MWZhN2IyNGRjYWYiLCJ1c2VySWQiOiI1MDEwMjUzODYifQ==</vt:lpwstr>
  </property>
</Properties>
</file>